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5B6C4B">
        <w:rPr>
          <w:rFonts w:ascii="Arial" w:eastAsia="宋体" w:hAnsi="Arial" w:cs="Arial"/>
          <w:b/>
          <w:sz w:val="24"/>
          <w:lang w:val="en-GB" w:eastAsia="ko-KR"/>
        </w:rPr>
        <w:t>8</w:t>
      </w:r>
      <w:r w:rsidRPr="00B40311">
        <w:rPr>
          <w:rFonts w:ascii="Arial" w:eastAsia="宋体" w:hAnsi="Arial" w:cs="Arial"/>
          <w:b/>
          <w:sz w:val="24"/>
          <w:lang w:val="en-GB" w:eastAsia="ko-KR"/>
        </w:rPr>
        <w:t xml:space="preserve"> </w:t>
      </w:r>
      <w:r w:rsidR="00185C2B">
        <w:rPr>
          <w:rFonts w:ascii="Arial" w:eastAsia="宋体" w:hAnsi="Arial" w:cs="Arial"/>
          <w:b/>
          <w:sz w:val="24"/>
          <w:lang w:val="en-GB" w:eastAsia="ko-KR"/>
        </w:rPr>
        <w:tab/>
      </w:r>
      <w:r w:rsidR="005C4114">
        <w:rPr>
          <w:rFonts w:ascii="Arial" w:eastAsia="宋体" w:hAnsi="Arial" w:cs="Arial"/>
          <w:b/>
          <w:sz w:val="24"/>
          <w:lang w:val="en-GB" w:eastAsia="ko-KR"/>
        </w:rPr>
        <w:tab/>
      </w:r>
      <w:r w:rsidR="00717E1B" w:rsidRPr="00717E1B">
        <w:rPr>
          <w:rFonts w:ascii="Arial" w:eastAsia="宋体" w:hAnsi="Arial" w:cs="Arial"/>
          <w:b/>
          <w:sz w:val="24"/>
          <w:lang w:val="en-GB" w:eastAsia="ko-KR"/>
        </w:rPr>
        <w:t>R4-2</w:t>
      </w:r>
      <w:r w:rsidR="00EC01FF">
        <w:rPr>
          <w:rFonts w:ascii="Arial" w:eastAsia="宋体" w:hAnsi="Arial" w:cs="Arial"/>
          <w:b/>
          <w:sz w:val="24"/>
          <w:lang w:val="en-GB" w:eastAsia="ko-KR"/>
        </w:rPr>
        <w:t>3</w:t>
      </w:r>
      <w:r w:rsidR="00300E9E">
        <w:rPr>
          <w:rFonts w:ascii="Arial" w:eastAsia="宋体" w:hAnsi="Arial" w:cs="Arial"/>
          <w:b/>
          <w:sz w:val="24"/>
          <w:lang w:val="en-GB"/>
        </w:rPr>
        <w:t>11855</w:t>
      </w:r>
    </w:p>
    <w:p w:rsidR="00A44F96" w:rsidRPr="00B40311" w:rsidRDefault="005B6C4B"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 FR,</w:t>
      </w:r>
      <w:r w:rsidRPr="00902E98">
        <w:rPr>
          <w:rFonts w:ascii="Arial" w:eastAsia="宋体" w:hAnsi="Arial" w:cs="Arial"/>
          <w:b/>
          <w:sz w:val="24"/>
          <w:lang w:val="en-GB" w:eastAsia="ko-KR"/>
        </w:rPr>
        <w:t xml:space="preserve">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Aug. </w:t>
      </w:r>
      <w:r w:rsidRPr="00902E98">
        <w:rPr>
          <w:rFonts w:ascii="Arial" w:eastAsia="宋体" w:hAnsi="Arial" w:cs="Arial"/>
          <w:b/>
          <w:sz w:val="24"/>
          <w:lang w:val="en-GB" w:eastAsia="ko-KR"/>
        </w:rPr>
        <w:t xml:space="preserve">– </w:t>
      </w:r>
      <w:r>
        <w:rPr>
          <w:rFonts w:ascii="Arial" w:eastAsia="宋体" w:hAnsi="Arial" w:cs="Arial"/>
          <w:b/>
          <w:sz w:val="24"/>
          <w:lang w:val="en-GB" w:eastAsia="ko-KR"/>
        </w:rPr>
        <w:t>25</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04729">
        <w:rPr>
          <w:rFonts w:ascii="Arial" w:eastAsia="宋体" w:hAnsi="Arial" w:cs="Arial" w:hint="eastAsia"/>
          <w:b/>
          <w:sz w:val="24"/>
          <w:lang w:val="en-GB"/>
        </w:rPr>
        <w:t>Discuss</w:t>
      </w:r>
      <w:r w:rsidR="00004729">
        <w:rPr>
          <w:rFonts w:ascii="Arial" w:eastAsia="宋体" w:hAnsi="Arial" w:cs="Arial"/>
          <w:b/>
          <w:sz w:val="24"/>
          <w:lang w:val="en-GB"/>
        </w:rPr>
        <w:t xml:space="preserve"> </w:t>
      </w:r>
      <w:r w:rsidR="00F752D6">
        <w:rPr>
          <w:rFonts w:ascii="Arial" w:eastAsia="宋体" w:hAnsi="Arial" w:cs="Arial"/>
          <w:b/>
          <w:sz w:val="24"/>
          <w:lang w:val="en-GB" w:eastAsia="ko-KR"/>
        </w:rPr>
        <w:t>t</w:t>
      </w:r>
      <w:r w:rsidR="00A92934">
        <w:rPr>
          <w:rFonts w:ascii="Arial" w:eastAsia="宋体" w:hAnsi="Arial" w:cs="Arial"/>
          <w:b/>
          <w:sz w:val="24"/>
          <w:lang w:val="en-GB" w:eastAsia="ko-KR"/>
        </w:rPr>
        <w:t>he remaining issues for</w:t>
      </w:r>
      <w:r w:rsidR="00C032FD" w:rsidRPr="00C032FD">
        <w:rPr>
          <w:rFonts w:ascii="Arial" w:eastAsia="宋体" w:hAnsi="Arial" w:cs="Arial"/>
          <w:b/>
          <w:sz w:val="24"/>
          <w:lang w:val="en-GB" w:eastAsia="ko-KR"/>
        </w:rPr>
        <w:t xml:space="preserve"> the combinati</w:t>
      </w:r>
      <w:r w:rsidR="00C032FD">
        <w:rPr>
          <w:rFonts w:ascii="Arial" w:eastAsia="宋体" w:hAnsi="Arial" w:cs="Arial"/>
          <w:b/>
          <w:sz w:val="24"/>
          <w:lang w:val="en-GB" w:eastAsia="ko-KR"/>
        </w:rPr>
        <w:t>on of</w:t>
      </w:r>
      <w:r w:rsidR="00F855B9" w:rsidRPr="00F855B9">
        <w:rPr>
          <w:rFonts w:ascii="Arial" w:eastAsia="宋体" w:hAnsi="Arial" w:cs="Arial"/>
          <w:b/>
          <w:sz w:val="24"/>
          <w:lang w:val="en-GB" w:eastAsia="ko-KR"/>
        </w:rPr>
        <w:t xml:space="preserve"> </w:t>
      </w:r>
      <w:r w:rsidR="00E1291C">
        <w:rPr>
          <w:rFonts w:ascii="Arial" w:eastAsia="宋体" w:hAnsi="Arial" w:cs="Arial"/>
          <w:b/>
          <w:sz w:val="24"/>
          <w:lang w:val="en-GB" w:eastAsia="ko-KR"/>
        </w:rPr>
        <w:t>NCSG</w:t>
      </w:r>
      <w:r w:rsidR="00F855B9">
        <w:rPr>
          <w:rFonts w:ascii="Arial" w:eastAsia="宋体" w:hAnsi="Arial" w:cs="Arial"/>
          <w:b/>
          <w:sz w:val="24"/>
          <w:lang w:val="en-GB" w:eastAsia="ko-KR"/>
        </w:rPr>
        <w:t xml:space="preserve"> </w:t>
      </w:r>
      <w:r w:rsidR="00652D79">
        <w:rPr>
          <w:rFonts w:ascii="Arial" w:eastAsia="宋体" w:hAnsi="Arial" w:cs="Arial"/>
          <w:b/>
          <w:sz w:val="24"/>
          <w:lang w:val="en-GB" w:eastAsia="ko-KR"/>
        </w:rPr>
        <w:t>and concurrent MG</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B0585" w:rsidRPr="00300E9E">
        <w:rPr>
          <w:rFonts w:ascii="Arial" w:eastAsia="宋体" w:hAnsi="Arial" w:cs="Arial"/>
          <w:b/>
          <w:sz w:val="24"/>
          <w:lang w:val="en-GB"/>
        </w:rPr>
        <w:t>8</w:t>
      </w:r>
      <w:r w:rsidR="003A4170" w:rsidRPr="00300E9E">
        <w:rPr>
          <w:rFonts w:ascii="Arial" w:eastAsia="宋体" w:hAnsi="Arial" w:cs="Arial"/>
          <w:b/>
          <w:sz w:val="24"/>
          <w:lang w:val="en-GB"/>
        </w:rPr>
        <w:t>.</w:t>
      </w:r>
      <w:r w:rsidR="00300E9E" w:rsidRPr="00300E9E">
        <w:rPr>
          <w:rFonts w:ascii="Arial" w:eastAsia="宋体" w:hAnsi="Arial" w:cs="Arial"/>
          <w:b/>
          <w:sz w:val="24"/>
          <w:lang w:val="en-GB"/>
        </w:rPr>
        <w:t>9</w:t>
      </w:r>
      <w:r w:rsidRPr="00300E9E">
        <w:rPr>
          <w:rFonts w:ascii="Arial" w:eastAsia="宋体" w:hAnsi="Arial" w:cs="Arial" w:hint="eastAsia"/>
          <w:b/>
          <w:sz w:val="24"/>
          <w:lang w:val="en-GB"/>
        </w:rPr>
        <w:t>.</w:t>
      </w:r>
      <w:r w:rsidRPr="00300E9E">
        <w:rPr>
          <w:rFonts w:ascii="Arial" w:eastAsia="宋体" w:hAnsi="Arial" w:cs="Arial"/>
          <w:b/>
          <w:sz w:val="24"/>
          <w:lang w:val="en-GB"/>
        </w:rPr>
        <w:t>2</w:t>
      </w:r>
      <w:r w:rsidR="008215CA" w:rsidRPr="00300E9E">
        <w:rPr>
          <w:rFonts w:ascii="Arial" w:eastAsia="宋体" w:hAnsi="Arial" w:cs="Arial"/>
          <w:b/>
          <w:sz w:val="24"/>
          <w:lang w:val="en-GB"/>
        </w:rPr>
        <w:t>.3</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Pr="00A87F64" w:rsidRDefault="007673A6" w:rsidP="00A87F64">
      <w:pPr>
        <w:rPr>
          <w:rFonts w:ascii="Times New Roman" w:hAnsi="Times New Roman" w:cs="Times New Roman"/>
          <w:sz w:val="20"/>
          <w:szCs w:val="20"/>
        </w:rPr>
      </w:pPr>
      <w:r>
        <w:rPr>
          <w:rFonts w:ascii="Times New Roman" w:hAnsi="Times New Roman" w:cs="Times New Roman"/>
          <w:sz w:val="20"/>
          <w:szCs w:val="20"/>
        </w:rPr>
        <w:t>In RAN4#10</w:t>
      </w:r>
      <w:r w:rsidR="005B6C4B">
        <w:rPr>
          <w:rFonts w:ascii="Times New Roman" w:hAnsi="Times New Roman" w:cs="Times New Roman"/>
          <w:sz w:val="20"/>
          <w:szCs w:val="20"/>
        </w:rPr>
        <w:t>7</w:t>
      </w:r>
      <w:r w:rsidR="00A87F64" w:rsidRPr="00A87F64">
        <w:rPr>
          <w:rFonts w:ascii="Times New Roman" w:hAnsi="Times New Roman" w:cs="Times New Roman"/>
          <w:sz w:val="20"/>
          <w:szCs w:val="20"/>
        </w:rPr>
        <w:t xml:space="preserve"> meeting, RAN4 had some discussion on RRM requirements for</w:t>
      </w:r>
      <w:r w:rsidR="006925E1">
        <w:rPr>
          <w:rFonts w:ascii="Times New Roman" w:hAnsi="Times New Roman" w:cs="Times New Roman"/>
          <w:sz w:val="20"/>
          <w:szCs w:val="20"/>
        </w:rPr>
        <w:t xml:space="preserve"> case 2 when</w:t>
      </w:r>
      <w:r w:rsidR="00A87F64" w:rsidRPr="00A87F64">
        <w:rPr>
          <w:rFonts w:ascii="Times New Roman" w:hAnsi="Times New Roman" w:cs="Times New Roman"/>
          <w:sz w:val="20"/>
          <w:szCs w:val="20"/>
        </w:rPr>
        <w:t xml:space="preserve"> UE</w:t>
      </w:r>
      <w:r w:rsidR="006925E1">
        <w:rPr>
          <w:rFonts w:ascii="Times New Roman" w:hAnsi="Times New Roman" w:cs="Times New Roman"/>
          <w:sz w:val="20"/>
          <w:szCs w:val="20"/>
        </w:rPr>
        <w:t xml:space="preserve"> is</w:t>
      </w:r>
      <w:r w:rsidR="00A87F64" w:rsidRPr="00A87F64">
        <w:rPr>
          <w:rFonts w:ascii="Times New Roman" w:hAnsi="Times New Roman" w:cs="Times New Roman"/>
          <w:sz w:val="20"/>
          <w:szCs w:val="20"/>
        </w:rPr>
        <w:t xml:space="preserve"> configured with a combination of </w:t>
      </w:r>
      <w:r w:rsidR="00A87F64">
        <w:rPr>
          <w:rFonts w:ascii="Times New Roman" w:hAnsi="Times New Roman" w:cs="Times New Roman"/>
          <w:sz w:val="20"/>
          <w:szCs w:val="20"/>
        </w:rPr>
        <w:t>NCSG</w:t>
      </w:r>
      <w:r w:rsidR="00A87F64" w:rsidRPr="00A87F64">
        <w:rPr>
          <w:rFonts w:ascii="Times New Roman" w:hAnsi="Times New Roman" w:cs="Times New Roman"/>
          <w:sz w:val="20"/>
          <w:szCs w:val="20"/>
        </w:rPr>
        <w:t xml:space="preserve"> and concurrent MG, and the related WF was approved in [1]. In this contribution, we would like to discuss the </w:t>
      </w:r>
      <w:r w:rsidR="00A92934">
        <w:rPr>
          <w:rFonts w:ascii="Times New Roman" w:hAnsi="Times New Roman" w:cs="Times New Roman"/>
          <w:sz w:val="20"/>
          <w:szCs w:val="20"/>
        </w:rPr>
        <w:t>remaining</w:t>
      </w:r>
      <w:r w:rsidR="00A87F64" w:rsidRPr="00A87F64">
        <w:rPr>
          <w:rFonts w:ascii="Times New Roman" w:hAnsi="Times New Roman" w:cs="Times New Roman"/>
          <w:sz w:val="20"/>
          <w:szCs w:val="20"/>
        </w:rPr>
        <w:t xml:space="preserve"> </w:t>
      </w:r>
      <w:r w:rsidR="00A92934">
        <w:rPr>
          <w:rFonts w:ascii="Times New Roman" w:hAnsi="Times New Roman" w:cs="Times New Roman"/>
          <w:sz w:val="20"/>
          <w:szCs w:val="20"/>
        </w:rPr>
        <w:t>issues</w:t>
      </w:r>
      <w:r w:rsidR="00A87F64" w:rsidRPr="00A87F64">
        <w:rPr>
          <w:rFonts w:ascii="Times New Roman" w:hAnsi="Times New Roman" w:cs="Times New Roman"/>
          <w:sz w:val="20"/>
          <w:szCs w:val="20"/>
        </w:rPr>
        <w:t xml:space="preserve"> and provide our proposals.</w:t>
      </w:r>
    </w:p>
    <w:p w:rsidR="00785A7D" w:rsidRPr="008056E9" w:rsidRDefault="000D163E" w:rsidP="008056E9">
      <w:pPr>
        <w:pStyle w:val="1"/>
        <w:numPr>
          <w:ilvl w:val="0"/>
          <w:numId w:val="2"/>
        </w:numPr>
        <w:spacing w:after="0"/>
        <w:ind w:left="0" w:firstLine="0"/>
        <w:rPr>
          <w:rFonts w:eastAsia="Times New Roman" w:cs="Times New Roman"/>
          <w:color w:val="auto"/>
          <w:kern w:val="0"/>
        </w:rPr>
      </w:pPr>
      <w:r w:rsidRPr="00370DBF">
        <w:rPr>
          <w:rFonts w:eastAsia="Times New Roman" w:cs="Times New Roman"/>
          <w:color w:val="auto"/>
          <w:kern w:val="0"/>
        </w:rPr>
        <w:t>Discussion</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5"/>
      </w:tblGrid>
      <w:tr w:rsidR="007B00F5" w:rsidTr="007B00F5">
        <w:trPr>
          <w:trHeight w:val="599"/>
        </w:trPr>
        <w:tc>
          <w:tcPr>
            <w:tcW w:w="8215" w:type="dxa"/>
          </w:tcPr>
          <w:p w:rsidR="008056E9" w:rsidRPr="008056E9" w:rsidRDefault="008056E9" w:rsidP="008056E9">
            <w:pPr>
              <w:pStyle w:val="3"/>
              <w:widowControl/>
              <w:numPr>
                <w:ilvl w:val="2"/>
                <w:numId w:val="0"/>
              </w:numPr>
              <w:tabs>
                <w:tab w:val="left" w:pos="576"/>
                <w:tab w:val="left" w:pos="1146"/>
              </w:tabs>
              <w:spacing w:before="0" w:after="0" w:line="240" w:lineRule="auto"/>
              <w:ind w:left="720" w:hanging="720"/>
              <w:jc w:val="left"/>
              <w:rPr>
                <w:rFonts w:ascii="Times New Roman" w:hAnsi="Times New Roman" w:cs="Times New Roman"/>
                <w:b w:val="0"/>
                <w:bCs w:val="0"/>
                <w:sz w:val="20"/>
                <w:szCs w:val="20"/>
              </w:rPr>
            </w:pPr>
            <w:r w:rsidRPr="008056E9">
              <w:rPr>
                <w:rFonts w:ascii="Times New Roman" w:hAnsi="Times New Roman" w:cs="Times New Roman"/>
                <w:b w:val="0"/>
                <w:bCs w:val="0"/>
                <w:sz w:val="20"/>
                <w:szCs w:val="20"/>
                <w:u w:val="single"/>
              </w:rPr>
              <w:t>Issue 4-2-4: [Case 2] Whether to consider a new capability for NCSG + NCSG in an FR</w:t>
            </w:r>
          </w:p>
          <w:p w:rsidR="008056E9" w:rsidRPr="008056E9" w:rsidRDefault="008056E9" w:rsidP="008056E9">
            <w:pPr>
              <w:ind w:leftChars="76" w:left="160"/>
              <w:rPr>
                <w:rFonts w:ascii="Times New Roman" w:hAnsi="Times New Roman" w:cs="Times New Roman"/>
                <w:sz w:val="20"/>
                <w:szCs w:val="20"/>
              </w:rPr>
            </w:pPr>
            <w:r w:rsidRPr="008056E9">
              <w:rPr>
                <w:rFonts w:ascii="Times New Roman" w:hAnsi="Times New Roman" w:cs="Times New Roman"/>
                <w:sz w:val="20"/>
                <w:szCs w:val="20"/>
              </w:rPr>
              <w:t xml:space="preserve">&lt; Way forward &gt;: </w:t>
            </w:r>
          </w:p>
          <w:p w:rsidR="007B00F5" w:rsidRPr="008056E9" w:rsidRDefault="008056E9" w:rsidP="008056E9">
            <w:pPr>
              <w:pStyle w:val="a7"/>
              <w:numPr>
                <w:ilvl w:val="1"/>
                <w:numId w:val="42"/>
              </w:numPr>
              <w:autoSpaceDN w:val="0"/>
              <w:ind w:left="1011"/>
              <w:contextualSpacing w:val="0"/>
              <w:rPr>
                <w:color w:val="000000"/>
                <w:sz w:val="20"/>
                <w:szCs w:val="20"/>
                <w:lang w:eastAsia="zh-CN"/>
              </w:rPr>
            </w:pPr>
            <w:r w:rsidRPr="008056E9">
              <w:rPr>
                <w:sz w:val="20"/>
                <w:szCs w:val="20"/>
                <w:lang w:eastAsia="zh-CN"/>
              </w:rPr>
              <w:t>UE capabilities can be discussed at later stage. Keep FFS for now.</w:t>
            </w:r>
          </w:p>
        </w:tc>
      </w:tr>
    </w:tbl>
    <w:p w:rsidR="0083649D" w:rsidRDefault="00630344"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ccording to the WID scope, the combination of </w:t>
      </w:r>
      <w:r w:rsidR="003254DA">
        <w:rPr>
          <w:rFonts w:ascii="Times New Roman" w:hAnsi="Times New Roman" w:cs="Times New Roman"/>
          <w:sz w:val="20"/>
          <w:szCs w:val="20"/>
          <w:lang w:val="en-GB"/>
        </w:rPr>
        <w:t>NCSG</w:t>
      </w:r>
      <w:r>
        <w:rPr>
          <w:rFonts w:ascii="Times New Roman" w:hAnsi="Times New Roman" w:cs="Times New Roman"/>
          <w:sz w:val="20"/>
          <w:szCs w:val="20"/>
          <w:lang w:val="en-GB"/>
        </w:rPr>
        <w:t xml:space="preserve"> + </w:t>
      </w:r>
      <w:r w:rsidR="003254DA">
        <w:rPr>
          <w:rFonts w:ascii="Times New Roman" w:hAnsi="Times New Roman" w:cs="Times New Roman"/>
          <w:sz w:val="20"/>
          <w:szCs w:val="20"/>
          <w:lang w:val="en-GB"/>
        </w:rPr>
        <w:t>NCSG</w:t>
      </w:r>
      <w:r>
        <w:rPr>
          <w:rFonts w:ascii="Times New Roman" w:hAnsi="Times New Roman" w:cs="Times New Roman"/>
          <w:sz w:val="20"/>
          <w:szCs w:val="20"/>
          <w:lang w:val="en-GB"/>
        </w:rPr>
        <w:t xml:space="preserve"> in an FR should be included.</w:t>
      </w:r>
      <w:r w:rsidR="002B7E31">
        <w:rPr>
          <w:rFonts w:ascii="Times New Roman" w:hAnsi="Times New Roman" w:cs="Times New Roman"/>
          <w:sz w:val="20"/>
          <w:szCs w:val="20"/>
          <w:lang w:val="en-GB"/>
        </w:rPr>
        <w:t xml:space="preserve"> </w:t>
      </w:r>
      <w:r w:rsidR="00035A44">
        <w:rPr>
          <w:rFonts w:ascii="Times New Roman" w:hAnsi="Times New Roman" w:cs="Times New Roman"/>
          <w:sz w:val="20"/>
          <w:szCs w:val="20"/>
          <w:lang w:val="en-GB"/>
        </w:rPr>
        <w:t xml:space="preserve">In our understanding, </w:t>
      </w:r>
      <w:r w:rsidR="001B14F3">
        <w:rPr>
          <w:rFonts w:ascii="Times New Roman" w:hAnsi="Times New Roman" w:cs="Times New Roman"/>
          <w:sz w:val="20"/>
          <w:szCs w:val="20"/>
          <w:lang w:val="en-GB"/>
        </w:rPr>
        <w:t xml:space="preserve">UE may have different implementation to support the combination of NCSG + NCSG. </w:t>
      </w:r>
      <w:r w:rsidR="0083649D">
        <w:rPr>
          <w:rFonts w:ascii="Times New Roman" w:hAnsi="Times New Roman" w:cs="Times New Roman"/>
          <w:sz w:val="20"/>
          <w:szCs w:val="20"/>
          <w:lang w:val="en-GB"/>
        </w:rPr>
        <w:t>If</w:t>
      </w:r>
      <w:r w:rsidR="00035A44">
        <w:rPr>
          <w:rFonts w:ascii="Times New Roman" w:hAnsi="Times New Roman" w:cs="Times New Roman"/>
          <w:sz w:val="20"/>
          <w:szCs w:val="20"/>
          <w:lang w:val="en-GB"/>
        </w:rPr>
        <w:t xml:space="preserve"> </w:t>
      </w:r>
      <w:r w:rsidR="001B14F3">
        <w:rPr>
          <w:rFonts w:ascii="Times New Roman" w:hAnsi="Times New Roman" w:cs="Times New Roman"/>
          <w:sz w:val="20"/>
          <w:szCs w:val="20"/>
          <w:lang w:val="en-GB"/>
        </w:rPr>
        <w:t>the combination of NCSG + NCSG</w:t>
      </w:r>
      <w:r w:rsidR="0083649D">
        <w:rPr>
          <w:rFonts w:ascii="Times New Roman" w:hAnsi="Times New Roman" w:cs="Times New Roman"/>
          <w:sz w:val="20"/>
          <w:szCs w:val="20"/>
          <w:lang w:val="en-GB"/>
        </w:rPr>
        <w:t xml:space="preserve"> is implemented in the same spare RF chain,</w:t>
      </w:r>
      <w:r w:rsidR="00035A44">
        <w:rPr>
          <w:rFonts w:ascii="Times New Roman" w:hAnsi="Times New Roman" w:cs="Times New Roman"/>
          <w:sz w:val="20"/>
          <w:szCs w:val="20"/>
          <w:lang w:val="en-GB"/>
        </w:rPr>
        <w:t xml:space="preserve"> </w:t>
      </w:r>
      <w:r w:rsidR="0083649D">
        <w:rPr>
          <w:rFonts w:ascii="Times New Roman" w:hAnsi="Times New Roman" w:cs="Times New Roman"/>
          <w:sz w:val="20"/>
          <w:szCs w:val="20"/>
          <w:lang w:val="en-GB"/>
        </w:rPr>
        <w:t xml:space="preserve">it </w:t>
      </w:r>
      <w:r w:rsidR="00035A44">
        <w:rPr>
          <w:rFonts w:ascii="Times New Roman" w:hAnsi="Times New Roman" w:cs="Times New Roman"/>
          <w:sz w:val="20"/>
          <w:szCs w:val="20"/>
          <w:lang w:val="en-GB"/>
        </w:rPr>
        <w:t>can be supported without any additional UE capability</w:t>
      </w:r>
      <w:r w:rsidR="0083649D">
        <w:rPr>
          <w:rFonts w:ascii="Times New Roman" w:hAnsi="Times New Roman" w:cs="Times New Roman"/>
          <w:sz w:val="20"/>
          <w:szCs w:val="20"/>
          <w:lang w:val="en-GB"/>
        </w:rPr>
        <w:t xml:space="preserve"> as long as the UE supports Rel-17 NCSG patterns</w:t>
      </w:r>
      <w:r w:rsidR="00035A44">
        <w:rPr>
          <w:rFonts w:ascii="Times New Roman" w:hAnsi="Times New Roman" w:cs="Times New Roman"/>
          <w:sz w:val="20"/>
          <w:szCs w:val="20"/>
          <w:lang w:val="en-GB"/>
        </w:rPr>
        <w:t>.</w:t>
      </w:r>
      <w:r w:rsidR="00D30BD4">
        <w:rPr>
          <w:rFonts w:ascii="Times New Roman" w:hAnsi="Times New Roman" w:cs="Times New Roman"/>
          <w:sz w:val="20"/>
          <w:szCs w:val="20"/>
          <w:lang w:val="en-GB"/>
        </w:rPr>
        <w:t xml:space="preserve"> </w:t>
      </w:r>
      <w:r w:rsidR="0083649D">
        <w:rPr>
          <w:rFonts w:ascii="Times New Roman" w:hAnsi="Times New Roman" w:cs="Times New Roman"/>
          <w:sz w:val="20"/>
          <w:szCs w:val="20"/>
          <w:lang w:val="en-GB"/>
        </w:rPr>
        <w:t>If the combination of NCSG + NCSG is implemented in the two spare RF chains, a new UE capability is needed.</w:t>
      </w:r>
      <w:r w:rsidR="007B00F5">
        <w:rPr>
          <w:rFonts w:ascii="Times New Roman" w:hAnsi="Times New Roman" w:cs="Times New Roman"/>
          <w:sz w:val="20"/>
          <w:szCs w:val="20"/>
          <w:lang w:val="en-GB"/>
        </w:rPr>
        <w:t xml:space="preserve"> As RAN4 was agreed no need to discuss the RF chain assumption for two NCSG patterns, thus, a new UE capability is needed to support the case that NCSG + NCSG is implemented in the two spare RF chains</w:t>
      </w:r>
    </w:p>
    <w:p w:rsidR="0022457F" w:rsidRDefault="0022457F" w:rsidP="0022457F">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8056E9">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sidR="007B00F5">
        <w:rPr>
          <w:rFonts w:ascii="Times New Roman" w:hAnsi="Times New Roman" w:cs="Times New Roman"/>
          <w:b/>
          <w:sz w:val="20"/>
          <w:szCs w:val="20"/>
          <w:lang w:val="en-GB"/>
        </w:rPr>
        <w:t>RAN4 to introduce a new UE capability to support</w:t>
      </w:r>
      <w:r w:rsidR="0083649D" w:rsidRPr="0083649D">
        <w:rPr>
          <w:rFonts w:ascii="Times New Roman" w:hAnsi="Times New Roman" w:cs="Times New Roman"/>
          <w:b/>
          <w:sz w:val="20"/>
          <w:szCs w:val="20"/>
          <w:lang w:val="en-GB"/>
        </w:rPr>
        <w:t xml:space="preserve"> the combination of NCSG + NCSG </w:t>
      </w:r>
      <w:r w:rsidR="0083649D">
        <w:rPr>
          <w:rFonts w:ascii="Times New Roman" w:hAnsi="Times New Roman" w:cs="Times New Roman"/>
          <w:b/>
          <w:sz w:val="20"/>
          <w:szCs w:val="20"/>
          <w:lang w:val="en-GB"/>
        </w:rPr>
        <w:t>in an FR</w:t>
      </w:r>
      <w:r w:rsidR="0047173D">
        <w:rPr>
          <w:rFonts w:ascii="Times New Roman" w:hAnsi="Times New Roman" w:cs="Times New Roman"/>
          <w:b/>
          <w:sz w:val="20"/>
          <w:szCs w:val="20"/>
          <w:lang w:val="en-GB"/>
        </w:rPr>
        <w:t>.</w:t>
      </w:r>
    </w:p>
    <w:p w:rsidR="00537B22" w:rsidRPr="007B00F5" w:rsidRDefault="00537B22" w:rsidP="007B00F5">
      <w:pPr>
        <w:spacing w:after="120"/>
        <w:rPr>
          <w:rFonts w:ascii="Times New Roman" w:hAnsi="Times New Roman" w:cs="Times New Roman"/>
          <w:b/>
          <w:bCs/>
          <w:sz w:val="20"/>
          <w:szCs w:val="24"/>
          <w:u w:val="single"/>
        </w:rPr>
      </w:pPr>
      <w:r w:rsidRPr="00537B22">
        <w:rPr>
          <w:rFonts w:ascii="Times New Roman" w:hAnsi="Times New Roman" w:cs="Times New Roman"/>
          <w:b/>
          <w:bCs/>
          <w:sz w:val="20"/>
          <w:szCs w:val="24"/>
          <w:u w:val="single"/>
        </w:rPr>
        <w:t>Other Rel-17 rules to be revisited</w:t>
      </w:r>
    </w:p>
    <w:tbl>
      <w:tblPr>
        <w:tblW w:w="83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166E0E" w:rsidTr="00166E0E">
        <w:trPr>
          <w:trHeight w:val="665"/>
        </w:trPr>
        <w:tc>
          <w:tcPr>
            <w:tcW w:w="8357" w:type="dxa"/>
          </w:tcPr>
          <w:p w:rsidR="00903C80" w:rsidRPr="00903C80" w:rsidRDefault="00903C80" w:rsidP="00903C80">
            <w:pPr>
              <w:rPr>
                <w:rFonts w:ascii="Times New Roman" w:hAnsi="Times New Roman" w:cs="Times New Roman"/>
                <w:b/>
                <w:sz w:val="20"/>
              </w:rPr>
            </w:pPr>
            <w:r w:rsidRPr="00903C80">
              <w:rPr>
                <w:rFonts w:ascii="Times New Roman" w:hAnsi="Times New Roman" w:cs="Times New Roman"/>
                <w:b/>
                <w:sz w:val="20"/>
              </w:rPr>
              <w:t>Issue 4-4-1: [Case 2] Potential changes for NCSG upon SCell activation</w:t>
            </w:r>
          </w:p>
          <w:p w:rsidR="00903C80" w:rsidRPr="00903C80" w:rsidRDefault="00903C80" w:rsidP="00903C80">
            <w:pPr>
              <w:spacing w:afterLines="50" w:after="156"/>
              <w:ind w:firstLine="420"/>
              <w:rPr>
                <w:rFonts w:ascii="Times New Roman" w:hAnsi="Times New Roman" w:cs="Times New Roman"/>
                <w:sz w:val="20"/>
                <w:szCs w:val="20"/>
              </w:rPr>
            </w:pPr>
            <w:r w:rsidRPr="00903C80">
              <w:rPr>
                <w:rFonts w:ascii="Times New Roman" w:hAnsi="Times New Roman" w:cs="Times New Roman"/>
                <w:b/>
                <w:sz w:val="20"/>
                <w:szCs w:val="20"/>
              </w:rPr>
              <w:t xml:space="preserve">&lt; </w:t>
            </w:r>
            <w:r w:rsidRPr="00903C80">
              <w:rPr>
                <w:rFonts w:ascii="Times New Roman" w:hAnsi="Times New Roman" w:cs="Times New Roman"/>
                <w:b/>
                <w:iCs/>
                <w:sz w:val="20"/>
                <w:szCs w:val="20"/>
              </w:rPr>
              <w:t>Agreements from meeting RAN4#106-bis-e</w:t>
            </w:r>
            <w:r w:rsidRPr="00903C80">
              <w:rPr>
                <w:rFonts w:ascii="Times New Roman" w:hAnsi="Times New Roman" w:cs="Times New Roman"/>
                <w:b/>
                <w:sz w:val="20"/>
                <w:szCs w:val="20"/>
              </w:rPr>
              <w:t xml:space="preserve"> &gt;</w:t>
            </w:r>
            <w:r w:rsidRPr="00903C80">
              <w:rPr>
                <w:rFonts w:ascii="Times New Roman" w:hAnsi="Times New Roman" w:cs="Times New Roman"/>
                <w:sz w:val="20"/>
                <w:szCs w:val="20"/>
              </w:rPr>
              <w:t xml:space="preserve">: </w:t>
            </w:r>
          </w:p>
          <w:p w:rsidR="00903C80" w:rsidRPr="00903C80" w:rsidRDefault="00903C80" w:rsidP="00903C80">
            <w:pPr>
              <w:pStyle w:val="a7"/>
              <w:numPr>
                <w:ilvl w:val="0"/>
                <w:numId w:val="42"/>
              </w:numPr>
              <w:overflowPunct w:val="0"/>
              <w:autoSpaceDE w:val="0"/>
              <w:autoSpaceDN w:val="0"/>
              <w:adjustRightInd w:val="0"/>
              <w:spacing w:line="252" w:lineRule="auto"/>
              <w:contextualSpacing w:val="0"/>
              <w:rPr>
                <w:sz w:val="20"/>
                <w:szCs w:val="20"/>
                <w:lang w:eastAsia="ja-JP"/>
              </w:rPr>
            </w:pPr>
            <w:r w:rsidRPr="00903C80">
              <w:rPr>
                <w:color w:val="000000"/>
                <w:sz w:val="20"/>
                <w:szCs w:val="20"/>
              </w:rPr>
              <w:t>UE behavior for deactivated SCell measurements with NCSG in Case 2 is FFS</w:t>
            </w:r>
          </w:p>
          <w:p w:rsidR="00903C80" w:rsidRPr="00903C80" w:rsidRDefault="00903C80" w:rsidP="00903C80">
            <w:pPr>
              <w:pStyle w:val="a7"/>
              <w:numPr>
                <w:ilvl w:val="1"/>
                <w:numId w:val="42"/>
              </w:numPr>
              <w:autoSpaceDN w:val="0"/>
              <w:contextualSpacing w:val="0"/>
              <w:rPr>
                <w:color w:val="000000"/>
                <w:sz w:val="20"/>
                <w:szCs w:val="20"/>
                <w:lang w:eastAsia="zh-CN"/>
              </w:rPr>
            </w:pPr>
            <w:r w:rsidRPr="00903C80">
              <w:rPr>
                <w:color w:val="000000"/>
                <w:sz w:val="20"/>
                <w:szCs w:val="20"/>
              </w:rPr>
              <w:t>Option 1: Legacy UE behavior (i.e. UE measures the deactivated SCell outside of MG)</w:t>
            </w:r>
          </w:p>
          <w:p w:rsidR="00903C80" w:rsidRPr="00903C80" w:rsidRDefault="00903C80" w:rsidP="00903C80">
            <w:pPr>
              <w:pStyle w:val="a7"/>
              <w:numPr>
                <w:ilvl w:val="1"/>
                <w:numId w:val="42"/>
              </w:numPr>
              <w:autoSpaceDN w:val="0"/>
              <w:contextualSpacing w:val="0"/>
              <w:rPr>
                <w:color w:val="000000"/>
                <w:sz w:val="20"/>
                <w:szCs w:val="20"/>
              </w:rPr>
            </w:pPr>
            <w:r w:rsidRPr="00903C80">
              <w:rPr>
                <w:color w:val="000000"/>
                <w:sz w:val="20"/>
                <w:szCs w:val="20"/>
              </w:rPr>
              <w:t>Option 2: When the SCell is deactivated, the deactivated SCell’s MO will be measured within NCSG if the SMTC is partially or fully overlapped.</w:t>
            </w:r>
          </w:p>
          <w:p w:rsidR="00903C80" w:rsidRPr="00903C80" w:rsidRDefault="00903C80" w:rsidP="00903C80">
            <w:pPr>
              <w:spacing w:afterLines="50" w:after="156"/>
              <w:ind w:firstLine="420"/>
              <w:rPr>
                <w:rFonts w:ascii="Times New Roman" w:hAnsi="Times New Roman" w:cs="Times New Roman"/>
                <w:sz w:val="20"/>
                <w:szCs w:val="20"/>
              </w:rPr>
            </w:pPr>
            <w:r w:rsidRPr="00903C80">
              <w:rPr>
                <w:rFonts w:ascii="Times New Roman" w:hAnsi="Times New Roman" w:cs="Times New Roman"/>
                <w:b/>
                <w:sz w:val="20"/>
                <w:szCs w:val="20"/>
              </w:rPr>
              <w:t xml:space="preserve">&lt; </w:t>
            </w:r>
            <w:r w:rsidRPr="00903C80">
              <w:rPr>
                <w:rFonts w:ascii="Times New Roman" w:hAnsi="Times New Roman" w:cs="Times New Roman"/>
                <w:b/>
                <w:iCs/>
                <w:sz w:val="20"/>
                <w:szCs w:val="20"/>
              </w:rPr>
              <w:t>Agreements from online session</w:t>
            </w:r>
            <w:r w:rsidRPr="00903C80">
              <w:rPr>
                <w:rFonts w:ascii="Times New Roman" w:hAnsi="Times New Roman" w:cs="Times New Roman"/>
                <w:b/>
                <w:sz w:val="20"/>
                <w:szCs w:val="20"/>
              </w:rPr>
              <w:t xml:space="preserve"> &gt;</w:t>
            </w:r>
            <w:r w:rsidRPr="00903C80">
              <w:rPr>
                <w:rFonts w:ascii="Times New Roman" w:hAnsi="Times New Roman" w:cs="Times New Roman"/>
                <w:sz w:val="20"/>
                <w:szCs w:val="20"/>
              </w:rPr>
              <w:t xml:space="preserve">: </w:t>
            </w:r>
          </w:p>
          <w:p w:rsidR="00903C80" w:rsidRPr="00903C80" w:rsidRDefault="00903C80" w:rsidP="00903C80">
            <w:pPr>
              <w:pStyle w:val="a7"/>
              <w:numPr>
                <w:ilvl w:val="1"/>
                <w:numId w:val="46"/>
              </w:numPr>
              <w:overflowPunct w:val="0"/>
              <w:autoSpaceDE w:val="0"/>
              <w:autoSpaceDN w:val="0"/>
              <w:adjustRightInd w:val="0"/>
              <w:spacing w:line="252" w:lineRule="auto"/>
              <w:contextualSpacing w:val="0"/>
              <w:rPr>
                <w:bCs/>
                <w:sz w:val="20"/>
                <w:szCs w:val="20"/>
              </w:rPr>
            </w:pPr>
            <w:r w:rsidRPr="00903C80">
              <w:rPr>
                <w:bCs/>
                <w:sz w:val="20"/>
                <w:szCs w:val="20"/>
              </w:rPr>
              <w:t xml:space="preserve">Option 1: </w:t>
            </w:r>
          </w:p>
          <w:p w:rsidR="00903C80" w:rsidRPr="00903C80" w:rsidRDefault="00903C80" w:rsidP="00903C80">
            <w:pPr>
              <w:pStyle w:val="a7"/>
              <w:numPr>
                <w:ilvl w:val="2"/>
                <w:numId w:val="46"/>
              </w:numPr>
              <w:overflowPunct w:val="0"/>
              <w:autoSpaceDE w:val="0"/>
              <w:autoSpaceDN w:val="0"/>
              <w:adjustRightInd w:val="0"/>
              <w:spacing w:line="252" w:lineRule="auto"/>
              <w:contextualSpacing w:val="0"/>
              <w:rPr>
                <w:bCs/>
                <w:sz w:val="20"/>
                <w:szCs w:val="20"/>
              </w:rPr>
            </w:pPr>
            <w:r w:rsidRPr="00903C80">
              <w:rPr>
                <w:bCs/>
                <w:sz w:val="20"/>
                <w:szCs w:val="20"/>
              </w:rPr>
              <w:t>UE measures the deactivated SCell outside of MG</w:t>
            </w:r>
          </w:p>
          <w:p w:rsidR="00903C80" w:rsidRPr="00903C80" w:rsidRDefault="00903C80" w:rsidP="00903C80">
            <w:pPr>
              <w:pStyle w:val="a7"/>
              <w:numPr>
                <w:ilvl w:val="1"/>
                <w:numId w:val="46"/>
              </w:numPr>
              <w:overflowPunct w:val="0"/>
              <w:autoSpaceDE w:val="0"/>
              <w:autoSpaceDN w:val="0"/>
              <w:adjustRightInd w:val="0"/>
              <w:spacing w:line="252" w:lineRule="auto"/>
              <w:contextualSpacing w:val="0"/>
              <w:rPr>
                <w:bCs/>
                <w:sz w:val="20"/>
                <w:szCs w:val="20"/>
              </w:rPr>
            </w:pPr>
            <w:r w:rsidRPr="00903C80">
              <w:rPr>
                <w:bCs/>
                <w:sz w:val="20"/>
                <w:szCs w:val="20"/>
              </w:rPr>
              <w:lastRenderedPageBreak/>
              <w:t xml:space="preserve">Option 2: </w:t>
            </w:r>
          </w:p>
          <w:p w:rsidR="00903C80" w:rsidRPr="00903C80" w:rsidRDefault="00903C80" w:rsidP="00903C80">
            <w:pPr>
              <w:pStyle w:val="a7"/>
              <w:numPr>
                <w:ilvl w:val="2"/>
                <w:numId w:val="46"/>
              </w:numPr>
              <w:overflowPunct w:val="0"/>
              <w:autoSpaceDE w:val="0"/>
              <w:autoSpaceDN w:val="0"/>
              <w:adjustRightInd w:val="0"/>
              <w:spacing w:line="252" w:lineRule="auto"/>
              <w:contextualSpacing w:val="0"/>
              <w:rPr>
                <w:bCs/>
                <w:sz w:val="20"/>
                <w:szCs w:val="20"/>
              </w:rPr>
            </w:pPr>
            <w:r w:rsidRPr="00903C80">
              <w:rPr>
                <w:bCs/>
                <w:sz w:val="20"/>
                <w:szCs w:val="20"/>
              </w:rPr>
              <w:t>When the SCell is deactivated, the deactivated SCell’s MO will be measured within NCSG if the SMTC is partially or fully overlapped with NCSG.</w:t>
            </w:r>
          </w:p>
          <w:p w:rsidR="00903C80" w:rsidRPr="00903C80" w:rsidRDefault="00903C80" w:rsidP="00903C80">
            <w:pPr>
              <w:pStyle w:val="a7"/>
              <w:numPr>
                <w:ilvl w:val="2"/>
                <w:numId w:val="46"/>
              </w:numPr>
              <w:overflowPunct w:val="0"/>
              <w:autoSpaceDE w:val="0"/>
              <w:autoSpaceDN w:val="0"/>
              <w:adjustRightInd w:val="0"/>
              <w:spacing w:line="252" w:lineRule="auto"/>
              <w:contextualSpacing w:val="0"/>
              <w:rPr>
                <w:sz w:val="20"/>
                <w:szCs w:val="20"/>
                <w:lang w:eastAsia="ja-JP"/>
              </w:rPr>
            </w:pPr>
            <w:r w:rsidRPr="00903C80">
              <w:rPr>
                <w:sz w:val="20"/>
                <w:szCs w:val="20"/>
                <w:lang w:eastAsia="ja-JP"/>
              </w:rPr>
              <w:t>FFS whether a</w:t>
            </w:r>
            <w:r w:rsidRPr="00903C80">
              <w:rPr>
                <w:bCs/>
                <w:sz w:val="20"/>
                <w:szCs w:val="20"/>
              </w:rPr>
              <w:t xml:space="preserve"> new indication shall be introduced enable support of NCSG for deactivated SCell only.</w:t>
            </w:r>
          </w:p>
          <w:p w:rsidR="00903C80" w:rsidRPr="00903C80" w:rsidRDefault="00903C80" w:rsidP="00903C80">
            <w:pPr>
              <w:spacing w:afterLines="50" w:after="156"/>
              <w:ind w:left="360"/>
              <w:rPr>
                <w:rFonts w:ascii="Times New Roman" w:hAnsi="Times New Roman" w:cs="Times New Roman"/>
                <w:sz w:val="20"/>
                <w:szCs w:val="20"/>
              </w:rPr>
            </w:pPr>
            <w:r w:rsidRPr="00903C80">
              <w:rPr>
                <w:rFonts w:ascii="Times New Roman" w:hAnsi="Times New Roman" w:cs="Times New Roman"/>
                <w:b/>
                <w:sz w:val="20"/>
                <w:szCs w:val="20"/>
              </w:rPr>
              <w:t>&lt; Agreement &gt;</w:t>
            </w:r>
            <w:r w:rsidRPr="00903C80">
              <w:rPr>
                <w:rFonts w:ascii="Times New Roman" w:hAnsi="Times New Roman" w:cs="Times New Roman"/>
                <w:sz w:val="20"/>
                <w:szCs w:val="20"/>
              </w:rPr>
              <w:t xml:space="preserve">: </w:t>
            </w:r>
          </w:p>
          <w:p w:rsidR="00903C80" w:rsidRPr="00903C80" w:rsidRDefault="00903C80" w:rsidP="00903C80">
            <w:pPr>
              <w:pStyle w:val="a7"/>
              <w:numPr>
                <w:ilvl w:val="0"/>
                <w:numId w:val="47"/>
              </w:numPr>
              <w:overflowPunct w:val="0"/>
              <w:autoSpaceDE w:val="0"/>
              <w:autoSpaceDN w:val="0"/>
              <w:adjustRightInd w:val="0"/>
              <w:contextualSpacing w:val="0"/>
              <w:rPr>
                <w:rFonts w:eastAsia="PMingLiU"/>
                <w:b/>
                <w:color w:val="000000"/>
                <w:sz w:val="20"/>
                <w:szCs w:val="20"/>
                <w:lang w:eastAsia="zh-TW"/>
              </w:rPr>
            </w:pPr>
            <w:r w:rsidRPr="00903C80">
              <w:rPr>
                <w:rFonts w:eastAsia="PMingLiU"/>
                <w:b/>
                <w:color w:val="000000"/>
                <w:sz w:val="20"/>
                <w:szCs w:val="20"/>
                <w:lang w:eastAsia="zh-TW"/>
              </w:rPr>
              <w:t>Align the understanding of Rel-17 UE behaviours</w:t>
            </w:r>
          </w:p>
          <w:p w:rsidR="00903C80" w:rsidRPr="00903C80" w:rsidRDefault="00903C80" w:rsidP="00903C80">
            <w:pPr>
              <w:pStyle w:val="a7"/>
              <w:numPr>
                <w:ilvl w:val="1"/>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 xml:space="preserve">Only up to 1 NCSG can be configured. All activated Scell MOs are </w:t>
            </w:r>
            <w:r w:rsidRPr="00903C80">
              <w:rPr>
                <w:rFonts w:eastAsia="PMingLiU"/>
                <w:bCs/>
                <w:color w:val="000000"/>
                <w:sz w:val="20"/>
                <w:szCs w:val="20"/>
                <w:u w:val="single"/>
                <w:lang w:eastAsia="zh-TW"/>
              </w:rPr>
              <w:t xml:space="preserve">implicitly </w:t>
            </w:r>
            <w:r w:rsidRPr="00903C80">
              <w:rPr>
                <w:rFonts w:eastAsia="PMingLiU"/>
                <w:bCs/>
                <w:color w:val="000000"/>
                <w:sz w:val="20"/>
                <w:szCs w:val="20"/>
                <w:lang w:eastAsia="zh-TW"/>
              </w:rPr>
              <w:t>associated to the NCSG</w:t>
            </w:r>
          </w:p>
          <w:p w:rsidR="00903C80" w:rsidRPr="00903C80" w:rsidRDefault="00903C80" w:rsidP="00903C80">
            <w:pPr>
              <w:pStyle w:val="a7"/>
              <w:numPr>
                <w:ilvl w:val="1"/>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In the dynamic UE capability signalling, there is no separate indication for activated/deactivated serving cells. This implies UE only indicate the capability if it supports all scenarios, including</w:t>
            </w:r>
          </w:p>
          <w:p w:rsidR="00903C80" w:rsidRPr="00903C80" w:rsidRDefault="00903C80" w:rsidP="00903C80">
            <w:pPr>
              <w:pStyle w:val="a7"/>
              <w:numPr>
                <w:ilvl w:val="2"/>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deactivated Scell</w:t>
            </w:r>
          </w:p>
          <w:p w:rsidR="00903C80" w:rsidRPr="00903C80" w:rsidRDefault="00903C80" w:rsidP="00903C80">
            <w:pPr>
              <w:pStyle w:val="a7"/>
              <w:numPr>
                <w:ilvl w:val="2"/>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activated Scell but SSB not in active BWP</w:t>
            </w:r>
          </w:p>
          <w:p w:rsidR="00903C80" w:rsidRPr="00903C80" w:rsidRDefault="00903C80" w:rsidP="00903C80">
            <w:pPr>
              <w:pStyle w:val="a7"/>
              <w:numPr>
                <w:ilvl w:val="1"/>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Understanding to be clarified:</w:t>
            </w:r>
          </w:p>
          <w:p w:rsidR="00903C80" w:rsidRPr="00903C80" w:rsidRDefault="00903C80" w:rsidP="00903C80">
            <w:pPr>
              <w:pStyle w:val="a7"/>
              <w:numPr>
                <w:ilvl w:val="2"/>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Will all deactivated Scell be measured via NCSG regardless the UE capability report of intraFreq-needForNCSG?</w:t>
            </w:r>
          </w:p>
          <w:p w:rsidR="00903C80" w:rsidRPr="00903C80" w:rsidRDefault="00903C80" w:rsidP="00903C80">
            <w:pPr>
              <w:pStyle w:val="a7"/>
              <w:numPr>
                <w:ilvl w:val="0"/>
                <w:numId w:val="47"/>
              </w:numPr>
              <w:overflowPunct w:val="0"/>
              <w:autoSpaceDE w:val="0"/>
              <w:autoSpaceDN w:val="0"/>
              <w:adjustRightInd w:val="0"/>
              <w:contextualSpacing w:val="0"/>
              <w:rPr>
                <w:rFonts w:eastAsia="PMingLiU"/>
                <w:b/>
                <w:color w:val="000000"/>
                <w:sz w:val="20"/>
                <w:szCs w:val="20"/>
                <w:lang w:eastAsia="zh-TW"/>
              </w:rPr>
            </w:pPr>
            <w:r w:rsidRPr="00903C80">
              <w:rPr>
                <w:rFonts w:eastAsia="PMingLiU"/>
                <w:b/>
                <w:color w:val="000000"/>
                <w:sz w:val="20"/>
                <w:szCs w:val="20"/>
                <w:lang w:eastAsia="zh-TW"/>
              </w:rPr>
              <w:t>New in Rel-18</w:t>
            </w:r>
          </w:p>
          <w:p w:rsidR="00903C80" w:rsidRPr="00903C80" w:rsidRDefault="00903C80" w:rsidP="00903C80">
            <w:pPr>
              <w:pStyle w:val="a7"/>
              <w:numPr>
                <w:ilvl w:val="1"/>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When Type-2 MG and NCSG are both configured, some serving cell MOs may associated to the NCSG and some are not.</w:t>
            </w:r>
          </w:p>
          <w:p w:rsidR="00903C80" w:rsidRPr="00903C80" w:rsidRDefault="00903C80" w:rsidP="00903C80">
            <w:pPr>
              <w:pStyle w:val="a7"/>
              <w:numPr>
                <w:ilvl w:val="2"/>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Question 1: What is the expected UE behaviour (assume SMTC partially overlapped with NCSG)</w:t>
            </w:r>
          </w:p>
          <w:p w:rsidR="00903C80" w:rsidRPr="00903C80" w:rsidRDefault="00903C80" w:rsidP="00903C80">
            <w:pPr>
              <w:pStyle w:val="a7"/>
              <w:numPr>
                <w:ilvl w:val="3"/>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Option 1: skip gap association, all deactivated Scells are measured within NCSG. (This implies some new rule to override the existing gap association rule)</w:t>
            </w:r>
          </w:p>
          <w:p w:rsidR="00903C80" w:rsidRPr="00903C80" w:rsidRDefault="00903C80" w:rsidP="00903C80">
            <w:pPr>
              <w:pStyle w:val="a7"/>
              <w:numPr>
                <w:ilvl w:val="3"/>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Option 2: Still follow the gap association, i.e., (This implies we follow Rel-17 gap association rule)</w:t>
            </w:r>
          </w:p>
          <w:p w:rsidR="00903C80" w:rsidRPr="00903C80" w:rsidRDefault="00903C80" w:rsidP="00903C80">
            <w:pPr>
              <w:pStyle w:val="a7"/>
              <w:numPr>
                <w:ilvl w:val="4"/>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Deactivated Scell MO associated with NCSG is measured within NCSG</w:t>
            </w:r>
          </w:p>
          <w:p w:rsidR="00903C80" w:rsidRPr="00903C80" w:rsidRDefault="00903C80" w:rsidP="00903C80">
            <w:pPr>
              <w:pStyle w:val="a7"/>
              <w:numPr>
                <w:ilvl w:val="4"/>
                <w:numId w:val="47"/>
              </w:numPr>
              <w:overflowPunct w:val="0"/>
              <w:autoSpaceDE w:val="0"/>
              <w:autoSpaceDN w:val="0"/>
              <w:adjustRightInd w:val="0"/>
              <w:contextualSpacing w:val="0"/>
              <w:rPr>
                <w:rFonts w:eastAsia="PMingLiU"/>
                <w:bCs/>
                <w:color w:val="000000"/>
                <w:sz w:val="20"/>
                <w:szCs w:val="20"/>
                <w:lang w:eastAsia="zh-TW"/>
              </w:rPr>
            </w:pPr>
            <w:r w:rsidRPr="00903C80">
              <w:rPr>
                <w:rFonts w:eastAsia="PMingLiU"/>
                <w:bCs/>
                <w:color w:val="000000"/>
                <w:sz w:val="20"/>
                <w:szCs w:val="20"/>
                <w:lang w:eastAsia="zh-TW"/>
              </w:rPr>
              <w:t>Deactivated Scell MO not associated with NCSG is measured outside NCSG</w:t>
            </w:r>
          </w:p>
          <w:p w:rsidR="00166E0E" w:rsidRPr="00903C80" w:rsidRDefault="00903C80" w:rsidP="00903C80">
            <w:pPr>
              <w:pStyle w:val="a7"/>
              <w:numPr>
                <w:ilvl w:val="2"/>
                <w:numId w:val="47"/>
              </w:numPr>
              <w:overflowPunct w:val="0"/>
              <w:autoSpaceDE w:val="0"/>
              <w:autoSpaceDN w:val="0"/>
              <w:adjustRightInd w:val="0"/>
              <w:contextualSpacing w:val="0"/>
              <w:rPr>
                <w:rFonts w:eastAsia="PMingLiU"/>
                <w:bCs/>
                <w:color w:val="000000"/>
                <w:lang w:eastAsia="zh-TW"/>
              </w:rPr>
            </w:pPr>
            <w:r w:rsidRPr="00903C80">
              <w:rPr>
                <w:rFonts w:eastAsia="PMingLiU"/>
                <w:bCs/>
                <w:color w:val="000000"/>
                <w:sz w:val="20"/>
                <w:szCs w:val="20"/>
                <w:lang w:eastAsia="zh-TW"/>
              </w:rPr>
              <w:t xml:space="preserve">Question 2: Whether additional UE capability indication is needed </w:t>
            </w:r>
          </w:p>
        </w:tc>
      </w:tr>
    </w:tbl>
    <w:p w:rsidR="00A92934" w:rsidRDefault="007D325C" w:rsidP="001B0203">
      <w:pPr>
        <w:rPr>
          <w:rFonts w:ascii="Times New Roman" w:hAnsi="Times New Roman" w:cs="Times New Roman"/>
          <w:sz w:val="20"/>
          <w:szCs w:val="20"/>
          <w:lang w:val="en-GB"/>
        </w:rPr>
      </w:pPr>
      <w:r>
        <w:rPr>
          <w:rFonts w:ascii="Times New Roman" w:hAnsi="Times New Roman" w:cs="Times New Roman"/>
          <w:sz w:val="20"/>
          <w:szCs w:val="20"/>
          <w:lang w:val="en-GB"/>
        </w:rPr>
        <w:lastRenderedPageBreak/>
        <w:t>In legacy Rel-15/16 requirement, RAN4 defined the measurement delay requirement for deactivated SCell assumed that the deactivated SCell is measured outside of MG with interruption. And NCSG is introduced i</w:t>
      </w:r>
      <w:r w:rsidR="00A92934">
        <w:rPr>
          <w:rFonts w:ascii="Times New Roman" w:hAnsi="Times New Roman" w:cs="Times New Roman"/>
          <w:sz w:val="20"/>
          <w:szCs w:val="20"/>
          <w:lang w:val="en-GB"/>
        </w:rPr>
        <w:t>n</w:t>
      </w:r>
      <w:r>
        <w:rPr>
          <w:rFonts w:ascii="Times New Roman" w:hAnsi="Times New Roman" w:cs="Times New Roman"/>
          <w:sz w:val="20"/>
          <w:szCs w:val="20"/>
          <w:lang w:val="en-GB"/>
        </w:rPr>
        <w:t xml:space="preserve"> Rel-17, the deactivated SCell</w:t>
      </w:r>
      <w:r w:rsidR="008C52F9">
        <w:rPr>
          <w:rFonts w:ascii="Times New Roman" w:hAnsi="Times New Roman" w:cs="Times New Roman"/>
          <w:sz w:val="20"/>
          <w:szCs w:val="20"/>
          <w:lang w:val="en-GB"/>
        </w:rPr>
        <w:t xml:space="preserve"> MO</w:t>
      </w:r>
      <w:r>
        <w:rPr>
          <w:rFonts w:ascii="Times New Roman" w:hAnsi="Times New Roman" w:cs="Times New Roman"/>
          <w:sz w:val="20"/>
          <w:szCs w:val="20"/>
          <w:lang w:val="en-GB"/>
        </w:rPr>
        <w:t xml:space="preserve"> can be measure</w:t>
      </w:r>
      <w:r w:rsidR="008C52F9">
        <w:rPr>
          <w:rFonts w:ascii="Times New Roman" w:hAnsi="Times New Roman" w:cs="Times New Roman"/>
          <w:sz w:val="20"/>
          <w:szCs w:val="20"/>
          <w:lang w:val="en-GB"/>
        </w:rPr>
        <w:t>d within NCSG if the UE reports ‘</w:t>
      </w:r>
      <w:r w:rsidR="008C52F9" w:rsidRPr="00903C80">
        <w:rPr>
          <w:rFonts w:ascii="Times New Roman" w:eastAsia="PMingLiU" w:hAnsi="Times New Roman" w:cs="Times New Roman"/>
          <w:bCs/>
          <w:color w:val="000000"/>
          <w:sz w:val="20"/>
          <w:szCs w:val="20"/>
          <w:lang w:eastAsia="zh-TW"/>
        </w:rPr>
        <w:t>intraFreq-needForNCSG</w:t>
      </w:r>
      <w:r w:rsidR="008C52F9">
        <w:rPr>
          <w:rFonts w:ascii="Times New Roman" w:hAnsi="Times New Roman" w:cs="Times New Roman"/>
          <w:sz w:val="20"/>
          <w:szCs w:val="20"/>
          <w:lang w:val="en-GB"/>
        </w:rPr>
        <w:t xml:space="preserve">’ </w:t>
      </w:r>
      <w:r w:rsidR="00474423">
        <w:rPr>
          <w:rFonts w:ascii="Times New Roman" w:hAnsi="Times New Roman" w:cs="Times New Roman"/>
          <w:sz w:val="20"/>
          <w:szCs w:val="20"/>
          <w:lang w:val="en-GB"/>
        </w:rPr>
        <w:t>on</w:t>
      </w:r>
      <w:r w:rsidR="008C52F9">
        <w:rPr>
          <w:rFonts w:ascii="Times New Roman" w:hAnsi="Times New Roman" w:cs="Times New Roman"/>
          <w:sz w:val="20"/>
          <w:szCs w:val="20"/>
          <w:lang w:val="en-GB"/>
        </w:rPr>
        <w:t xml:space="preserve"> the band where the deactivated SCell MO located in. However, for those deactivated SCell MO(s), if the UE does not report ‘</w:t>
      </w:r>
      <w:r w:rsidR="008C52F9" w:rsidRPr="00903C80">
        <w:rPr>
          <w:rFonts w:ascii="Times New Roman" w:eastAsia="PMingLiU" w:hAnsi="Times New Roman" w:cs="Times New Roman"/>
          <w:bCs/>
          <w:color w:val="000000"/>
          <w:sz w:val="20"/>
          <w:szCs w:val="20"/>
          <w:lang w:eastAsia="zh-TW"/>
        </w:rPr>
        <w:t>intraFreq-needForNCSG</w:t>
      </w:r>
      <w:r w:rsidR="008C52F9">
        <w:rPr>
          <w:rFonts w:ascii="Times New Roman" w:hAnsi="Times New Roman" w:cs="Times New Roman"/>
          <w:sz w:val="20"/>
          <w:szCs w:val="20"/>
          <w:lang w:val="en-GB"/>
        </w:rPr>
        <w:t>’ for the band(s) where the deactivated SCell MO(s) located in</w:t>
      </w:r>
      <w:r w:rsidR="00474423">
        <w:rPr>
          <w:rFonts w:ascii="Times New Roman" w:hAnsi="Times New Roman" w:cs="Times New Roman"/>
          <w:sz w:val="20"/>
          <w:szCs w:val="20"/>
          <w:lang w:val="en-GB"/>
        </w:rPr>
        <w:t>, the deactivated SCell(s) cannot be measured with NCSG, instead, it can follow the legacy Rel-15/16 UE behaviour, they can be measured outside of MG with interruption</w:t>
      </w:r>
      <w:r w:rsidR="008C52F9">
        <w:rPr>
          <w:rFonts w:ascii="Times New Roman" w:hAnsi="Times New Roman" w:cs="Times New Roman"/>
          <w:sz w:val="20"/>
          <w:szCs w:val="20"/>
          <w:lang w:val="en-GB"/>
        </w:rPr>
        <w:t xml:space="preserve">. </w:t>
      </w:r>
    </w:p>
    <w:p w:rsidR="00A92934" w:rsidRDefault="00474423" w:rsidP="00474423">
      <w:pPr>
        <w:rPr>
          <w:rFonts w:ascii="Times New Roman" w:hAnsi="Times New Roman" w:cs="Times New Roman"/>
          <w:b/>
          <w:sz w:val="20"/>
          <w:szCs w:val="20"/>
          <w:lang w:val="en-GB"/>
        </w:rPr>
      </w:pPr>
      <w:r w:rsidRPr="00474423">
        <w:rPr>
          <w:rFonts w:ascii="Times New Roman" w:hAnsi="Times New Roman" w:cs="Times New Roman"/>
          <w:b/>
          <w:sz w:val="20"/>
          <w:szCs w:val="20"/>
          <w:lang w:val="en-GB"/>
        </w:rPr>
        <w:t>Proposal 2: Align the</w:t>
      </w:r>
      <w:r>
        <w:rPr>
          <w:rFonts w:ascii="Times New Roman" w:hAnsi="Times New Roman" w:cs="Times New Roman"/>
          <w:b/>
          <w:sz w:val="20"/>
          <w:szCs w:val="20"/>
          <w:lang w:val="en-GB"/>
        </w:rPr>
        <w:t xml:space="preserve"> following</w:t>
      </w:r>
      <w:r w:rsidRPr="00474423">
        <w:rPr>
          <w:rFonts w:ascii="Times New Roman" w:hAnsi="Times New Roman" w:cs="Times New Roman"/>
          <w:b/>
          <w:sz w:val="20"/>
          <w:szCs w:val="20"/>
          <w:lang w:val="en-GB"/>
        </w:rPr>
        <w:t xml:space="preserve"> understanding of Rel-17 UE behaviours</w:t>
      </w:r>
      <w:r>
        <w:rPr>
          <w:rFonts w:ascii="Times New Roman" w:hAnsi="Times New Roman" w:cs="Times New Roman"/>
          <w:b/>
          <w:sz w:val="20"/>
          <w:szCs w:val="20"/>
          <w:lang w:val="en-GB"/>
        </w:rPr>
        <w:t>:</w:t>
      </w:r>
    </w:p>
    <w:p w:rsidR="00474423" w:rsidRDefault="00474423" w:rsidP="00474423">
      <w:pPr>
        <w:pStyle w:val="a7"/>
        <w:numPr>
          <w:ilvl w:val="0"/>
          <w:numId w:val="48"/>
        </w:numPr>
        <w:spacing w:after="240"/>
        <w:ind w:left="567"/>
        <w:rPr>
          <w:b/>
          <w:sz w:val="20"/>
          <w:szCs w:val="20"/>
          <w:lang w:val="en-GB"/>
        </w:rPr>
      </w:pPr>
      <w:r w:rsidRPr="00474423">
        <w:rPr>
          <w:b/>
          <w:sz w:val="20"/>
          <w:szCs w:val="20"/>
          <w:lang w:val="en-GB"/>
        </w:rPr>
        <w:t>the deactivated SCell MO</w:t>
      </w:r>
      <w:r>
        <w:rPr>
          <w:b/>
          <w:sz w:val="20"/>
          <w:szCs w:val="20"/>
          <w:lang w:val="en-GB"/>
        </w:rPr>
        <w:t>(s)</w:t>
      </w:r>
      <w:r w:rsidRPr="00474423">
        <w:rPr>
          <w:b/>
          <w:sz w:val="20"/>
          <w:szCs w:val="20"/>
          <w:lang w:val="en-GB"/>
        </w:rPr>
        <w:t xml:space="preserve"> </w:t>
      </w:r>
      <w:r>
        <w:rPr>
          <w:b/>
          <w:sz w:val="20"/>
          <w:szCs w:val="20"/>
          <w:lang w:val="en-GB"/>
        </w:rPr>
        <w:t>are</w:t>
      </w:r>
      <w:r w:rsidRPr="00474423">
        <w:rPr>
          <w:b/>
          <w:sz w:val="20"/>
          <w:szCs w:val="20"/>
          <w:lang w:val="en-GB"/>
        </w:rPr>
        <w:t xml:space="preserve"> measured within NCSG if the UE reports ‘intraFreq-needForNCSG’ on the band</w:t>
      </w:r>
      <w:r>
        <w:rPr>
          <w:b/>
          <w:sz w:val="20"/>
          <w:szCs w:val="20"/>
          <w:lang w:val="en-GB"/>
        </w:rPr>
        <w:t>(s)</w:t>
      </w:r>
      <w:r w:rsidRPr="00474423">
        <w:rPr>
          <w:b/>
          <w:sz w:val="20"/>
          <w:szCs w:val="20"/>
          <w:lang w:val="en-GB"/>
        </w:rPr>
        <w:t xml:space="preserve"> where the deactivated SCell MO</w:t>
      </w:r>
      <w:r>
        <w:rPr>
          <w:b/>
          <w:sz w:val="20"/>
          <w:szCs w:val="20"/>
          <w:lang w:val="en-GB"/>
        </w:rPr>
        <w:t>(s)</w:t>
      </w:r>
      <w:r w:rsidRPr="00474423">
        <w:rPr>
          <w:b/>
          <w:sz w:val="20"/>
          <w:szCs w:val="20"/>
          <w:lang w:val="en-GB"/>
        </w:rPr>
        <w:t xml:space="preserve"> located in</w:t>
      </w:r>
    </w:p>
    <w:p w:rsidR="00474423" w:rsidRPr="00474423" w:rsidRDefault="00474423" w:rsidP="00474423">
      <w:pPr>
        <w:pStyle w:val="a7"/>
        <w:numPr>
          <w:ilvl w:val="0"/>
          <w:numId w:val="48"/>
        </w:numPr>
        <w:spacing w:after="240"/>
        <w:ind w:left="567"/>
        <w:rPr>
          <w:b/>
          <w:sz w:val="20"/>
          <w:szCs w:val="20"/>
          <w:lang w:val="en-GB"/>
        </w:rPr>
      </w:pPr>
      <w:r>
        <w:rPr>
          <w:b/>
          <w:sz w:val="20"/>
          <w:szCs w:val="20"/>
          <w:lang w:val="en-GB"/>
        </w:rPr>
        <w:t xml:space="preserve">Otherwise, </w:t>
      </w:r>
      <w:r w:rsidRPr="00474423">
        <w:rPr>
          <w:b/>
          <w:sz w:val="20"/>
          <w:szCs w:val="20"/>
          <w:lang w:val="en-GB"/>
        </w:rPr>
        <w:t>the deactivated SCell MO</w:t>
      </w:r>
      <w:r>
        <w:rPr>
          <w:b/>
          <w:sz w:val="20"/>
          <w:szCs w:val="20"/>
          <w:lang w:val="en-GB"/>
        </w:rPr>
        <w:t>(s)</w:t>
      </w:r>
      <w:r w:rsidRPr="00474423">
        <w:rPr>
          <w:b/>
          <w:sz w:val="20"/>
          <w:szCs w:val="20"/>
          <w:lang w:val="en-GB"/>
        </w:rPr>
        <w:t xml:space="preserve"> </w:t>
      </w:r>
      <w:r>
        <w:rPr>
          <w:b/>
          <w:sz w:val="20"/>
          <w:szCs w:val="20"/>
          <w:lang w:val="en-GB"/>
        </w:rPr>
        <w:t>are</w:t>
      </w:r>
      <w:r w:rsidRPr="00474423">
        <w:rPr>
          <w:b/>
          <w:sz w:val="20"/>
          <w:szCs w:val="20"/>
          <w:lang w:val="en-GB"/>
        </w:rPr>
        <w:t xml:space="preserve"> measured </w:t>
      </w:r>
      <w:r>
        <w:rPr>
          <w:b/>
          <w:sz w:val="20"/>
          <w:szCs w:val="20"/>
          <w:lang w:val="en-GB"/>
        </w:rPr>
        <w:t>outside of MG</w:t>
      </w:r>
      <w:r w:rsidR="002E7D6A">
        <w:rPr>
          <w:b/>
          <w:sz w:val="20"/>
          <w:szCs w:val="20"/>
          <w:lang w:val="en-GB"/>
        </w:rPr>
        <w:t xml:space="preserve"> with interruption</w:t>
      </w:r>
      <w:r>
        <w:rPr>
          <w:b/>
          <w:sz w:val="20"/>
          <w:szCs w:val="20"/>
          <w:lang w:val="en-GB"/>
        </w:rPr>
        <w:t>.</w:t>
      </w:r>
    </w:p>
    <w:p w:rsidR="001B0203" w:rsidRPr="002E7D6A" w:rsidRDefault="002E7D6A" w:rsidP="001B0203">
      <w:pPr>
        <w:rPr>
          <w:rFonts w:ascii="Times New Roman" w:hAnsi="Times New Roman" w:cs="Times New Roman"/>
          <w:sz w:val="20"/>
          <w:szCs w:val="20"/>
        </w:rPr>
      </w:pPr>
      <w:r>
        <w:rPr>
          <w:rFonts w:ascii="Times New Roman" w:hAnsi="Times New Roman" w:cs="Times New Roman" w:hint="eastAsia"/>
          <w:sz w:val="20"/>
          <w:szCs w:val="20"/>
          <w:lang w:val="en-GB"/>
        </w:rPr>
        <w:lastRenderedPageBreak/>
        <w:t>I</w:t>
      </w:r>
      <w:r>
        <w:rPr>
          <w:rFonts w:ascii="Times New Roman" w:hAnsi="Times New Roman" w:cs="Times New Roman"/>
          <w:sz w:val="20"/>
          <w:szCs w:val="20"/>
          <w:lang w:val="en-GB"/>
        </w:rPr>
        <w:t>n Rel-18, w</w:t>
      </w:r>
      <w:r w:rsidRPr="002E7D6A">
        <w:rPr>
          <w:rFonts w:ascii="Times New Roman" w:hAnsi="Times New Roman" w:cs="Times New Roman"/>
          <w:sz w:val="20"/>
          <w:szCs w:val="20"/>
          <w:lang w:val="en-GB"/>
        </w:rPr>
        <w:t xml:space="preserve">hen Type-2 MG and NCSG are both configured, </w:t>
      </w:r>
      <w:r>
        <w:rPr>
          <w:rFonts w:ascii="Times New Roman" w:hAnsi="Times New Roman" w:cs="Times New Roman"/>
          <w:sz w:val="20"/>
          <w:szCs w:val="20"/>
          <w:lang w:val="en-GB"/>
        </w:rPr>
        <w:t>the same UE behaviour can be assumed. For the</w:t>
      </w:r>
      <w:r w:rsidRPr="002E7D6A">
        <w:rPr>
          <w:rFonts w:ascii="Times New Roman" w:hAnsi="Times New Roman" w:cs="Times New Roman"/>
          <w:sz w:val="20"/>
          <w:szCs w:val="20"/>
          <w:lang w:val="en-GB"/>
        </w:rPr>
        <w:t xml:space="preserve"> serving cell MOs associated to the NCSG</w:t>
      </w:r>
      <w:r>
        <w:rPr>
          <w:rFonts w:ascii="Times New Roman" w:hAnsi="Times New Roman" w:cs="Times New Roman"/>
          <w:sz w:val="20"/>
          <w:szCs w:val="20"/>
          <w:lang w:val="en-GB"/>
        </w:rPr>
        <w:t>, the deactivated SCell MO(s) can be measured within NCSG, and for the serving cell MOs associated to type 2 MG, the deactivated SCell MO(s) can be measured outside of MG with interruption</w:t>
      </w:r>
      <w:r w:rsidRPr="002E7D6A">
        <w:rPr>
          <w:rFonts w:ascii="Times New Roman" w:hAnsi="Times New Roman" w:cs="Times New Roman"/>
          <w:sz w:val="20"/>
          <w:szCs w:val="20"/>
          <w:lang w:val="en-GB"/>
        </w:rPr>
        <w:t>.</w:t>
      </w:r>
    </w:p>
    <w:p w:rsidR="001B0203" w:rsidRDefault="001B0203" w:rsidP="002E7D6A">
      <w:pPr>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2E7D6A">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sidR="002E7D6A" w:rsidRPr="002E7D6A">
        <w:rPr>
          <w:rFonts w:ascii="Times New Roman" w:hAnsi="Times New Roman" w:cs="Times New Roman"/>
          <w:b/>
          <w:sz w:val="20"/>
          <w:szCs w:val="20"/>
          <w:lang w:val="en-GB"/>
        </w:rPr>
        <w:t>When Type-2 MG and NCSG are both configured,</w:t>
      </w:r>
      <w:r w:rsidR="002E7D6A">
        <w:rPr>
          <w:rFonts w:ascii="Times New Roman" w:hAnsi="Times New Roman" w:cs="Times New Roman"/>
          <w:b/>
          <w:sz w:val="20"/>
          <w:szCs w:val="20"/>
          <w:lang w:val="en-GB"/>
        </w:rPr>
        <w:t xml:space="preserve"> the UE follows Rel-17 gap association rules when measuring the deactivated SCell MOs:</w:t>
      </w:r>
    </w:p>
    <w:p w:rsidR="002E7D6A" w:rsidRPr="002E7D6A" w:rsidRDefault="008B7635" w:rsidP="00AD3727">
      <w:pPr>
        <w:pStyle w:val="a7"/>
        <w:numPr>
          <w:ilvl w:val="0"/>
          <w:numId w:val="49"/>
        </w:numPr>
        <w:spacing w:after="240"/>
        <w:ind w:left="567"/>
        <w:rPr>
          <w:b/>
          <w:sz w:val="20"/>
          <w:szCs w:val="20"/>
        </w:rPr>
      </w:pPr>
      <w:r>
        <w:rPr>
          <w:b/>
          <w:sz w:val="20"/>
          <w:szCs w:val="20"/>
        </w:rPr>
        <w:t>Deactivated SC</w:t>
      </w:r>
      <w:r w:rsidR="002E7D6A" w:rsidRPr="002E7D6A">
        <w:rPr>
          <w:b/>
          <w:sz w:val="20"/>
          <w:szCs w:val="20"/>
        </w:rPr>
        <w:t>ell MO associated with NCSG is measured within NCSG</w:t>
      </w:r>
    </w:p>
    <w:p w:rsidR="002E7D6A" w:rsidRPr="002E7D6A" w:rsidRDefault="008B7635" w:rsidP="00AD3727">
      <w:pPr>
        <w:pStyle w:val="a7"/>
        <w:numPr>
          <w:ilvl w:val="0"/>
          <w:numId w:val="49"/>
        </w:numPr>
        <w:spacing w:after="240"/>
        <w:ind w:left="567"/>
        <w:rPr>
          <w:b/>
          <w:sz w:val="20"/>
          <w:szCs w:val="20"/>
        </w:rPr>
      </w:pPr>
      <w:r>
        <w:rPr>
          <w:b/>
          <w:sz w:val="20"/>
          <w:szCs w:val="20"/>
        </w:rPr>
        <w:t>Deactivated SC</w:t>
      </w:r>
      <w:r w:rsidR="002E7D6A" w:rsidRPr="002E7D6A">
        <w:rPr>
          <w:b/>
          <w:sz w:val="20"/>
          <w:szCs w:val="20"/>
        </w:rPr>
        <w:t>ell MO not associated with NCSG is measured outside NCSG</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B15332">
      <w:pPr>
        <w:ind w:left="100" w:hangingChars="50" w:hanging="100"/>
        <w:rPr>
          <w:rFonts w:ascii="Times New Roman" w:hAnsi="Times New Roman" w:cs="Times New Roman"/>
          <w:sz w:val="20"/>
          <w:szCs w:val="20"/>
        </w:rPr>
      </w:pPr>
      <w:r>
        <w:rPr>
          <w:rFonts w:ascii="Times New Roman" w:hAnsi="Times New Roman" w:cs="Times New Roman"/>
          <w:sz w:val="20"/>
          <w:szCs w:val="20"/>
        </w:rPr>
        <w:t xml:space="preserve">In this contribution, we discuss the related requirements for </w:t>
      </w:r>
      <w:r w:rsidR="00CC5930">
        <w:rPr>
          <w:rFonts w:ascii="Times New Roman" w:hAnsi="Times New Roman" w:cs="Times New Roman"/>
          <w:sz w:val="20"/>
          <w:szCs w:val="20"/>
        </w:rPr>
        <w:t>case 2</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6B1D49" w:rsidRDefault="006B1D49" w:rsidP="006B1D49">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to introduce a new UE capability to support</w:t>
      </w:r>
      <w:r w:rsidRPr="0083649D">
        <w:rPr>
          <w:rFonts w:ascii="Times New Roman" w:hAnsi="Times New Roman" w:cs="Times New Roman"/>
          <w:b/>
          <w:sz w:val="20"/>
          <w:szCs w:val="20"/>
          <w:lang w:val="en-GB"/>
        </w:rPr>
        <w:t xml:space="preserve"> the combination of NCSG + NCSG </w:t>
      </w:r>
      <w:r>
        <w:rPr>
          <w:rFonts w:ascii="Times New Roman" w:hAnsi="Times New Roman" w:cs="Times New Roman"/>
          <w:b/>
          <w:sz w:val="20"/>
          <w:szCs w:val="20"/>
          <w:lang w:val="en-GB"/>
        </w:rPr>
        <w:t>in an FR.</w:t>
      </w:r>
    </w:p>
    <w:p w:rsidR="006B1D49" w:rsidRDefault="006B1D49" w:rsidP="006B1D49">
      <w:pPr>
        <w:rPr>
          <w:rFonts w:ascii="Times New Roman" w:hAnsi="Times New Roman" w:cs="Times New Roman"/>
          <w:b/>
          <w:sz w:val="20"/>
          <w:szCs w:val="20"/>
          <w:lang w:val="en-GB"/>
        </w:rPr>
      </w:pPr>
      <w:r w:rsidRPr="00474423">
        <w:rPr>
          <w:rFonts w:ascii="Times New Roman" w:hAnsi="Times New Roman" w:cs="Times New Roman"/>
          <w:b/>
          <w:sz w:val="20"/>
          <w:szCs w:val="20"/>
          <w:lang w:val="en-GB"/>
        </w:rPr>
        <w:t>Proposal 2: Align the</w:t>
      </w:r>
      <w:r>
        <w:rPr>
          <w:rFonts w:ascii="Times New Roman" w:hAnsi="Times New Roman" w:cs="Times New Roman"/>
          <w:b/>
          <w:sz w:val="20"/>
          <w:szCs w:val="20"/>
          <w:lang w:val="en-GB"/>
        </w:rPr>
        <w:t xml:space="preserve"> following</w:t>
      </w:r>
      <w:r w:rsidRPr="00474423">
        <w:rPr>
          <w:rFonts w:ascii="Times New Roman" w:hAnsi="Times New Roman" w:cs="Times New Roman"/>
          <w:b/>
          <w:sz w:val="20"/>
          <w:szCs w:val="20"/>
          <w:lang w:val="en-GB"/>
        </w:rPr>
        <w:t xml:space="preserve"> understanding of Rel-17 UE behaviours</w:t>
      </w:r>
      <w:r>
        <w:rPr>
          <w:rFonts w:ascii="Times New Roman" w:hAnsi="Times New Roman" w:cs="Times New Roman"/>
          <w:b/>
          <w:sz w:val="20"/>
          <w:szCs w:val="20"/>
          <w:lang w:val="en-GB"/>
        </w:rPr>
        <w:t>:</w:t>
      </w:r>
    </w:p>
    <w:p w:rsidR="006B1D49" w:rsidRDefault="006B1D49" w:rsidP="006B1D49">
      <w:pPr>
        <w:pStyle w:val="a7"/>
        <w:numPr>
          <w:ilvl w:val="0"/>
          <w:numId w:val="48"/>
        </w:numPr>
        <w:spacing w:after="240"/>
        <w:ind w:left="567"/>
        <w:rPr>
          <w:b/>
          <w:sz w:val="20"/>
          <w:szCs w:val="20"/>
          <w:lang w:val="en-GB"/>
        </w:rPr>
      </w:pPr>
      <w:r w:rsidRPr="00474423">
        <w:rPr>
          <w:b/>
          <w:sz w:val="20"/>
          <w:szCs w:val="20"/>
          <w:lang w:val="en-GB"/>
        </w:rPr>
        <w:t>the deactivated SCell MO</w:t>
      </w:r>
      <w:r>
        <w:rPr>
          <w:b/>
          <w:sz w:val="20"/>
          <w:szCs w:val="20"/>
          <w:lang w:val="en-GB"/>
        </w:rPr>
        <w:t>(s)</w:t>
      </w:r>
      <w:r w:rsidRPr="00474423">
        <w:rPr>
          <w:b/>
          <w:sz w:val="20"/>
          <w:szCs w:val="20"/>
          <w:lang w:val="en-GB"/>
        </w:rPr>
        <w:t xml:space="preserve"> </w:t>
      </w:r>
      <w:r>
        <w:rPr>
          <w:b/>
          <w:sz w:val="20"/>
          <w:szCs w:val="20"/>
          <w:lang w:val="en-GB"/>
        </w:rPr>
        <w:t>are</w:t>
      </w:r>
      <w:r w:rsidRPr="00474423">
        <w:rPr>
          <w:b/>
          <w:sz w:val="20"/>
          <w:szCs w:val="20"/>
          <w:lang w:val="en-GB"/>
        </w:rPr>
        <w:t xml:space="preserve"> measured within NCSG if the UE reports ‘intraFreq-needForNCSG’ on the band</w:t>
      </w:r>
      <w:r>
        <w:rPr>
          <w:b/>
          <w:sz w:val="20"/>
          <w:szCs w:val="20"/>
          <w:lang w:val="en-GB"/>
        </w:rPr>
        <w:t>(s)</w:t>
      </w:r>
      <w:r w:rsidRPr="00474423">
        <w:rPr>
          <w:b/>
          <w:sz w:val="20"/>
          <w:szCs w:val="20"/>
          <w:lang w:val="en-GB"/>
        </w:rPr>
        <w:t xml:space="preserve"> where the deactivated SCell MO</w:t>
      </w:r>
      <w:r>
        <w:rPr>
          <w:b/>
          <w:sz w:val="20"/>
          <w:szCs w:val="20"/>
          <w:lang w:val="en-GB"/>
        </w:rPr>
        <w:t>(s)</w:t>
      </w:r>
      <w:r w:rsidRPr="00474423">
        <w:rPr>
          <w:b/>
          <w:sz w:val="20"/>
          <w:szCs w:val="20"/>
          <w:lang w:val="en-GB"/>
        </w:rPr>
        <w:t xml:space="preserve"> located in</w:t>
      </w:r>
    </w:p>
    <w:p w:rsidR="006B1D49" w:rsidRPr="00474423" w:rsidRDefault="006B1D49" w:rsidP="006B1D49">
      <w:pPr>
        <w:pStyle w:val="a7"/>
        <w:numPr>
          <w:ilvl w:val="0"/>
          <w:numId w:val="48"/>
        </w:numPr>
        <w:spacing w:after="240"/>
        <w:ind w:left="567"/>
        <w:rPr>
          <w:b/>
          <w:sz w:val="20"/>
          <w:szCs w:val="20"/>
          <w:lang w:val="en-GB"/>
        </w:rPr>
      </w:pPr>
      <w:r>
        <w:rPr>
          <w:b/>
          <w:sz w:val="20"/>
          <w:szCs w:val="20"/>
          <w:lang w:val="en-GB"/>
        </w:rPr>
        <w:t xml:space="preserve">Otherwise, </w:t>
      </w:r>
      <w:r w:rsidRPr="00474423">
        <w:rPr>
          <w:b/>
          <w:sz w:val="20"/>
          <w:szCs w:val="20"/>
          <w:lang w:val="en-GB"/>
        </w:rPr>
        <w:t>the deactivated SCell MO</w:t>
      </w:r>
      <w:r>
        <w:rPr>
          <w:b/>
          <w:sz w:val="20"/>
          <w:szCs w:val="20"/>
          <w:lang w:val="en-GB"/>
        </w:rPr>
        <w:t>(s)</w:t>
      </w:r>
      <w:r w:rsidRPr="00474423">
        <w:rPr>
          <w:b/>
          <w:sz w:val="20"/>
          <w:szCs w:val="20"/>
          <w:lang w:val="en-GB"/>
        </w:rPr>
        <w:t xml:space="preserve"> </w:t>
      </w:r>
      <w:r>
        <w:rPr>
          <w:b/>
          <w:sz w:val="20"/>
          <w:szCs w:val="20"/>
          <w:lang w:val="en-GB"/>
        </w:rPr>
        <w:t>are</w:t>
      </w:r>
      <w:r w:rsidRPr="00474423">
        <w:rPr>
          <w:b/>
          <w:sz w:val="20"/>
          <w:szCs w:val="20"/>
          <w:lang w:val="en-GB"/>
        </w:rPr>
        <w:t xml:space="preserve"> measured </w:t>
      </w:r>
      <w:r>
        <w:rPr>
          <w:b/>
          <w:sz w:val="20"/>
          <w:szCs w:val="20"/>
          <w:lang w:val="en-GB"/>
        </w:rPr>
        <w:t>outside of MG with interruption.</w:t>
      </w:r>
    </w:p>
    <w:p w:rsidR="006B1D49" w:rsidRDefault="006B1D49" w:rsidP="006B1D49">
      <w:pPr>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sidRPr="002E7D6A">
        <w:rPr>
          <w:rFonts w:ascii="Times New Roman" w:hAnsi="Times New Roman" w:cs="Times New Roman"/>
          <w:b/>
          <w:sz w:val="20"/>
          <w:szCs w:val="20"/>
          <w:lang w:val="en-GB"/>
        </w:rPr>
        <w:t>When Type-2 MG and NCSG are both configured,</w:t>
      </w:r>
      <w:r>
        <w:rPr>
          <w:rFonts w:ascii="Times New Roman" w:hAnsi="Times New Roman" w:cs="Times New Roman"/>
          <w:b/>
          <w:sz w:val="20"/>
          <w:szCs w:val="20"/>
          <w:lang w:val="en-GB"/>
        </w:rPr>
        <w:t xml:space="preserve"> the UE follows Rel-17 gap association rules when measuring the deactivated SCell MOs:</w:t>
      </w:r>
    </w:p>
    <w:p w:rsidR="006B1D49" w:rsidRPr="002E7D6A" w:rsidRDefault="006B1D49" w:rsidP="00AD461C">
      <w:pPr>
        <w:pStyle w:val="a7"/>
        <w:numPr>
          <w:ilvl w:val="0"/>
          <w:numId w:val="49"/>
        </w:numPr>
        <w:spacing w:after="240"/>
        <w:ind w:left="567"/>
        <w:rPr>
          <w:b/>
          <w:sz w:val="20"/>
          <w:szCs w:val="20"/>
        </w:rPr>
      </w:pPr>
      <w:r>
        <w:rPr>
          <w:b/>
          <w:sz w:val="20"/>
          <w:szCs w:val="20"/>
        </w:rPr>
        <w:t>Deactivated SC</w:t>
      </w:r>
      <w:r w:rsidRPr="002E7D6A">
        <w:rPr>
          <w:b/>
          <w:sz w:val="20"/>
          <w:szCs w:val="20"/>
        </w:rPr>
        <w:t>ell MO associated with NCSG is measured within NCSG</w:t>
      </w:r>
    </w:p>
    <w:p w:rsidR="006B1D49" w:rsidRPr="002E7D6A" w:rsidRDefault="006B1D49" w:rsidP="00AD461C">
      <w:pPr>
        <w:pStyle w:val="a7"/>
        <w:numPr>
          <w:ilvl w:val="0"/>
          <w:numId w:val="49"/>
        </w:numPr>
        <w:spacing w:after="240"/>
        <w:ind w:left="567"/>
        <w:rPr>
          <w:b/>
          <w:sz w:val="20"/>
          <w:szCs w:val="20"/>
        </w:rPr>
      </w:pPr>
      <w:r>
        <w:rPr>
          <w:b/>
          <w:sz w:val="20"/>
          <w:szCs w:val="20"/>
        </w:rPr>
        <w:t>Deactivated SC</w:t>
      </w:r>
      <w:r w:rsidRPr="002E7D6A">
        <w:rPr>
          <w:b/>
          <w:sz w:val="20"/>
          <w:szCs w:val="20"/>
        </w:rPr>
        <w:t>ell MO not associated with NCSG is measured outside NCSG</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963006">
        <w:rPr>
          <w:rFonts w:ascii="Times New Roman" w:hAnsi="Times New Roman" w:cs="Times New Roman"/>
          <w:sz w:val="20"/>
          <w:szCs w:val="20"/>
        </w:rPr>
        <w:t>]</w:t>
      </w:r>
      <w:r w:rsidR="00963006">
        <w:rPr>
          <w:rFonts w:ascii="Times New Roman" w:hAnsi="Times New Roman" w:cs="Times New Roman"/>
          <w:sz w:val="20"/>
          <w:szCs w:val="20"/>
        </w:rPr>
        <w:tab/>
      </w:r>
      <w:r w:rsidR="00C23F3B">
        <w:rPr>
          <w:rFonts w:ascii="Times New Roman" w:hAnsi="Times New Roman" w:cs="Times New Roman"/>
          <w:sz w:val="20"/>
          <w:szCs w:val="20"/>
        </w:rPr>
        <w:t>R4-</w:t>
      </w:r>
      <w:r w:rsidR="00C23F3B" w:rsidRPr="00B4674D">
        <w:rPr>
          <w:rFonts w:ascii="Times New Roman" w:hAnsi="Times New Roman" w:cs="Times New Roman"/>
          <w:sz w:val="20"/>
          <w:szCs w:val="20"/>
        </w:rPr>
        <w:t>23</w:t>
      </w:r>
      <w:r w:rsidR="00A8318F">
        <w:rPr>
          <w:rFonts w:ascii="Times New Roman" w:hAnsi="Times New Roman" w:cs="Times New Roman"/>
          <w:sz w:val="20"/>
          <w:szCs w:val="20"/>
        </w:rPr>
        <w:t>10175</w:t>
      </w:r>
      <w:r w:rsidR="00C23F3B">
        <w:rPr>
          <w:rFonts w:ascii="Times New Roman" w:hAnsi="Times New Roman" w:cs="Times New Roman"/>
          <w:sz w:val="20"/>
          <w:szCs w:val="20"/>
        </w:rPr>
        <w:tab/>
      </w:r>
      <w:r w:rsidR="00A8318F" w:rsidRPr="00A8318F">
        <w:rPr>
          <w:rFonts w:ascii="Times New Roman" w:hAnsi="Times New Roman" w:cs="Times New Roman"/>
          <w:sz w:val="20"/>
          <w:szCs w:val="20"/>
        </w:rPr>
        <w:t>WF on NR MG enhancements</w:t>
      </w:r>
      <w:r w:rsidR="00C23F3B">
        <w:rPr>
          <w:rFonts w:ascii="Times New Roman" w:hAnsi="Times New Roman" w:cs="Times New Roman"/>
          <w:sz w:val="20"/>
          <w:szCs w:val="20"/>
        </w:rPr>
        <w:t>,</w:t>
      </w:r>
      <w:r w:rsidR="00C23F3B">
        <w:rPr>
          <w:rFonts w:ascii="Times New Roman" w:hAnsi="Times New Roman" w:cs="Times New Roman"/>
          <w:sz w:val="20"/>
          <w:szCs w:val="20"/>
        </w:rPr>
        <w:tab/>
        <w:t>MediaTek Inc</w:t>
      </w:r>
    </w:p>
    <w:p w:rsidR="008631DC" w:rsidRPr="00A8318F" w:rsidRDefault="008631DC" w:rsidP="00B15332">
      <w:pPr>
        <w:rPr>
          <w:rFonts w:ascii="Times New Roman" w:hAnsi="Times New Roman" w:cs="Times New Roman"/>
          <w:sz w:val="20"/>
          <w:szCs w:val="20"/>
        </w:rPr>
      </w:pPr>
    </w:p>
    <w:sectPr w:rsidR="008631DC" w:rsidRPr="00A8318F" w:rsidSect="005C1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68D" w:rsidRDefault="0056068D" w:rsidP="0054389C">
      <w:r>
        <w:separator/>
      </w:r>
    </w:p>
  </w:endnote>
  <w:endnote w:type="continuationSeparator" w:id="0">
    <w:p w:rsidR="0056068D" w:rsidRDefault="0056068D"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68D" w:rsidRDefault="0056068D" w:rsidP="0054389C">
      <w:r>
        <w:separator/>
      </w:r>
    </w:p>
  </w:footnote>
  <w:footnote w:type="continuationSeparator" w:id="0">
    <w:p w:rsidR="0056068D" w:rsidRDefault="0056068D"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3E0AEA"/>
    <w:multiLevelType w:val="hybridMultilevel"/>
    <w:tmpl w:val="BB82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A46318"/>
    <w:multiLevelType w:val="hybridMultilevel"/>
    <w:tmpl w:val="A27264E6"/>
    <w:lvl w:ilvl="0" w:tplc="255699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BA6D2C"/>
    <w:multiLevelType w:val="multilevel"/>
    <w:tmpl w:val="0542F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3"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B43F1C"/>
    <w:multiLevelType w:val="hybridMultilevel"/>
    <w:tmpl w:val="B0A8BE44"/>
    <w:lvl w:ilvl="0" w:tplc="255699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3"/>
  </w:num>
  <w:num w:numId="3">
    <w:abstractNumId w:val="8"/>
  </w:num>
  <w:num w:numId="4">
    <w:abstractNumId w:val="7"/>
  </w:num>
  <w:num w:numId="5">
    <w:abstractNumId w:val="23"/>
  </w:num>
  <w:num w:numId="6">
    <w:abstractNumId w:val="29"/>
  </w:num>
  <w:num w:numId="7">
    <w:abstractNumId w:val="4"/>
  </w:num>
  <w:num w:numId="8">
    <w:abstractNumId w:val="13"/>
  </w:num>
  <w:num w:numId="9">
    <w:abstractNumId w:val="15"/>
  </w:num>
  <w:num w:numId="10">
    <w:abstractNumId w:val="10"/>
  </w:num>
  <w:num w:numId="11">
    <w:abstractNumId w:val="32"/>
  </w:num>
  <w:num w:numId="12">
    <w:abstractNumId w:val="22"/>
  </w:num>
  <w:num w:numId="13">
    <w:abstractNumId w:val="20"/>
  </w:num>
  <w:num w:numId="14">
    <w:abstractNumId w:val="39"/>
  </w:num>
  <w:num w:numId="15">
    <w:abstractNumId w:val="14"/>
  </w:num>
  <w:num w:numId="16">
    <w:abstractNumId w:val="38"/>
  </w:num>
  <w:num w:numId="17">
    <w:abstractNumId w:val="6"/>
  </w:num>
  <w:num w:numId="18">
    <w:abstractNumId w:val="25"/>
  </w:num>
  <w:num w:numId="19">
    <w:abstractNumId w:val="36"/>
  </w:num>
  <w:num w:numId="20">
    <w:abstractNumId w:val="19"/>
  </w:num>
  <w:num w:numId="21">
    <w:abstractNumId w:val="2"/>
  </w:num>
  <w:num w:numId="22">
    <w:abstractNumId w:val="17"/>
  </w:num>
  <w:num w:numId="23">
    <w:abstractNumId w:val="37"/>
  </w:num>
  <w:num w:numId="24">
    <w:abstractNumId w:val="26"/>
  </w:num>
  <w:num w:numId="25">
    <w:abstractNumId w:val="30"/>
  </w:num>
  <w:num w:numId="26">
    <w:abstractNumId w:val="43"/>
  </w:num>
  <w:num w:numId="27">
    <w:abstractNumId w:val="11"/>
  </w:num>
  <w:num w:numId="28">
    <w:abstractNumId w:val="3"/>
  </w:num>
  <w:num w:numId="29">
    <w:abstractNumId w:val="1"/>
  </w:num>
  <w:num w:numId="30">
    <w:abstractNumId w:val="12"/>
  </w:num>
  <w:num w:numId="31">
    <w:abstractNumId w:val="5"/>
  </w:num>
  <w:num w:numId="32">
    <w:abstractNumId w:val="16"/>
  </w:num>
  <w:num w:numId="33">
    <w:abstractNumId w:val="41"/>
  </w:num>
  <w:num w:numId="34">
    <w:abstractNumId w:val="24"/>
  </w:num>
  <w:num w:numId="35">
    <w:abstractNumId w:val="35"/>
  </w:num>
  <w:num w:numId="36">
    <w:abstractNumId w:val="35"/>
  </w:num>
  <w:num w:numId="37">
    <w:abstractNumId w:val="35"/>
  </w:num>
  <w:num w:numId="38">
    <w:abstractNumId w:val="21"/>
  </w:num>
  <w:num w:numId="39">
    <w:abstractNumId w:val="40"/>
  </w:num>
  <w:num w:numId="40">
    <w:abstractNumId w:val="34"/>
  </w:num>
  <w:num w:numId="41">
    <w:abstractNumId w:val="18"/>
  </w:num>
  <w:num w:numId="42">
    <w:abstractNumId w:val="42"/>
  </w:num>
  <w:num w:numId="43">
    <w:abstractNumId w:val="28"/>
  </w:num>
  <w:num w:numId="44">
    <w:abstractNumId w:val="0"/>
  </w:num>
  <w:num w:numId="45">
    <w:abstractNumId w:val="35"/>
  </w:num>
  <w:num w:numId="46">
    <w:abstractNumId w:val="31"/>
  </w:num>
  <w:num w:numId="47">
    <w:abstractNumId w:val="9"/>
  </w:num>
  <w:num w:numId="48">
    <w:abstractNumId w:val="27"/>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44E5"/>
    <w:rsid w:val="00004729"/>
    <w:rsid w:val="0000685E"/>
    <w:rsid w:val="000158D0"/>
    <w:rsid w:val="00015C3C"/>
    <w:rsid w:val="00016088"/>
    <w:rsid w:val="00016727"/>
    <w:rsid w:val="00024DE8"/>
    <w:rsid w:val="0002546B"/>
    <w:rsid w:val="0002705A"/>
    <w:rsid w:val="00034A97"/>
    <w:rsid w:val="00035A44"/>
    <w:rsid w:val="00051822"/>
    <w:rsid w:val="000645C7"/>
    <w:rsid w:val="00070463"/>
    <w:rsid w:val="000716C6"/>
    <w:rsid w:val="00072D64"/>
    <w:rsid w:val="00077D39"/>
    <w:rsid w:val="000823B4"/>
    <w:rsid w:val="000B347F"/>
    <w:rsid w:val="000B3B28"/>
    <w:rsid w:val="000C69EA"/>
    <w:rsid w:val="000D163E"/>
    <w:rsid w:val="000D352F"/>
    <w:rsid w:val="000D5572"/>
    <w:rsid w:val="000D5EF8"/>
    <w:rsid w:val="000F428C"/>
    <w:rsid w:val="000F6FE6"/>
    <w:rsid w:val="00101ACC"/>
    <w:rsid w:val="001260EF"/>
    <w:rsid w:val="00127301"/>
    <w:rsid w:val="00135B54"/>
    <w:rsid w:val="001452D7"/>
    <w:rsid w:val="001478E9"/>
    <w:rsid w:val="00155341"/>
    <w:rsid w:val="0015540D"/>
    <w:rsid w:val="0016362E"/>
    <w:rsid w:val="001644B9"/>
    <w:rsid w:val="0016695D"/>
    <w:rsid w:val="00166E0E"/>
    <w:rsid w:val="00167860"/>
    <w:rsid w:val="0017492E"/>
    <w:rsid w:val="001754BF"/>
    <w:rsid w:val="0017577F"/>
    <w:rsid w:val="001800C7"/>
    <w:rsid w:val="0018503A"/>
    <w:rsid w:val="00185C2B"/>
    <w:rsid w:val="00187ADE"/>
    <w:rsid w:val="001907FE"/>
    <w:rsid w:val="001950FB"/>
    <w:rsid w:val="00195347"/>
    <w:rsid w:val="001A0C83"/>
    <w:rsid w:val="001A1790"/>
    <w:rsid w:val="001A3696"/>
    <w:rsid w:val="001B0203"/>
    <w:rsid w:val="001B0585"/>
    <w:rsid w:val="001B142A"/>
    <w:rsid w:val="001B14F3"/>
    <w:rsid w:val="001B6E2C"/>
    <w:rsid w:val="001C641D"/>
    <w:rsid w:val="001C6C9A"/>
    <w:rsid w:val="001D0568"/>
    <w:rsid w:val="001D0D2B"/>
    <w:rsid w:val="001D2134"/>
    <w:rsid w:val="001D25D7"/>
    <w:rsid w:val="001D47AE"/>
    <w:rsid w:val="001D72FE"/>
    <w:rsid w:val="001E53B1"/>
    <w:rsid w:val="001E5A5D"/>
    <w:rsid w:val="001E6E43"/>
    <w:rsid w:val="001F2348"/>
    <w:rsid w:val="00200158"/>
    <w:rsid w:val="00203D4A"/>
    <w:rsid w:val="00205754"/>
    <w:rsid w:val="00213D03"/>
    <w:rsid w:val="00214892"/>
    <w:rsid w:val="0022457F"/>
    <w:rsid w:val="002308E2"/>
    <w:rsid w:val="002316C3"/>
    <w:rsid w:val="00235DBD"/>
    <w:rsid w:val="00242135"/>
    <w:rsid w:val="00243B02"/>
    <w:rsid w:val="00245A4E"/>
    <w:rsid w:val="00246ADE"/>
    <w:rsid w:val="002647F2"/>
    <w:rsid w:val="00265CD5"/>
    <w:rsid w:val="00280D74"/>
    <w:rsid w:val="00281A5A"/>
    <w:rsid w:val="00290653"/>
    <w:rsid w:val="00294705"/>
    <w:rsid w:val="002B0A87"/>
    <w:rsid w:val="002B6210"/>
    <w:rsid w:val="002B652F"/>
    <w:rsid w:val="002B7E31"/>
    <w:rsid w:val="002D018A"/>
    <w:rsid w:val="002E189F"/>
    <w:rsid w:val="002E3574"/>
    <w:rsid w:val="002E64BA"/>
    <w:rsid w:val="002E7D6A"/>
    <w:rsid w:val="002F6F34"/>
    <w:rsid w:val="003009F3"/>
    <w:rsid w:val="00300E9E"/>
    <w:rsid w:val="00305381"/>
    <w:rsid w:val="0031381D"/>
    <w:rsid w:val="00313E94"/>
    <w:rsid w:val="00324A56"/>
    <w:rsid w:val="00324CCC"/>
    <w:rsid w:val="003254DA"/>
    <w:rsid w:val="0032715E"/>
    <w:rsid w:val="00330185"/>
    <w:rsid w:val="003329CE"/>
    <w:rsid w:val="00332A59"/>
    <w:rsid w:val="00335825"/>
    <w:rsid w:val="003361C0"/>
    <w:rsid w:val="0035479D"/>
    <w:rsid w:val="00363A14"/>
    <w:rsid w:val="003700E4"/>
    <w:rsid w:val="003702DA"/>
    <w:rsid w:val="00370DBF"/>
    <w:rsid w:val="0038659C"/>
    <w:rsid w:val="003A4170"/>
    <w:rsid w:val="003A4595"/>
    <w:rsid w:val="003A4A9D"/>
    <w:rsid w:val="003B6133"/>
    <w:rsid w:val="003B78F5"/>
    <w:rsid w:val="003D2B1A"/>
    <w:rsid w:val="003D3206"/>
    <w:rsid w:val="003D3A49"/>
    <w:rsid w:val="003E1EB2"/>
    <w:rsid w:val="003E6CF6"/>
    <w:rsid w:val="003E764D"/>
    <w:rsid w:val="003F6FCE"/>
    <w:rsid w:val="004028BD"/>
    <w:rsid w:val="00402CEB"/>
    <w:rsid w:val="0041525E"/>
    <w:rsid w:val="00416279"/>
    <w:rsid w:val="004230BF"/>
    <w:rsid w:val="00431676"/>
    <w:rsid w:val="004407DF"/>
    <w:rsid w:val="00460AAF"/>
    <w:rsid w:val="00467C66"/>
    <w:rsid w:val="0047173D"/>
    <w:rsid w:val="004718D4"/>
    <w:rsid w:val="00471AA1"/>
    <w:rsid w:val="00474423"/>
    <w:rsid w:val="00480411"/>
    <w:rsid w:val="00485068"/>
    <w:rsid w:val="0048645C"/>
    <w:rsid w:val="0049439B"/>
    <w:rsid w:val="004A2AFD"/>
    <w:rsid w:val="004A351E"/>
    <w:rsid w:val="004A3F2B"/>
    <w:rsid w:val="004B451B"/>
    <w:rsid w:val="004C222C"/>
    <w:rsid w:val="004D00B7"/>
    <w:rsid w:val="004D08CB"/>
    <w:rsid w:val="004D26E8"/>
    <w:rsid w:val="004D4C80"/>
    <w:rsid w:val="004D6569"/>
    <w:rsid w:val="004E0C32"/>
    <w:rsid w:val="004E2808"/>
    <w:rsid w:val="004E2E67"/>
    <w:rsid w:val="004E306E"/>
    <w:rsid w:val="004E48DA"/>
    <w:rsid w:val="004E6D1C"/>
    <w:rsid w:val="004F4A70"/>
    <w:rsid w:val="00505332"/>
    <w:rsid w:val="005218FD"/>
    <w:rsid w:val="005248BF"/>
    <w:rsid w:val="005300DA"/>
    <w:rsid w:val="00537B22"/>
    <w:rsid w:val="00543855"/>
    <w:rsid w:val="0054389C"/>
    <w:rsid w:val="00545812"/>
    <w:rsid w:val="00552469"/>
    <w:rsid w:val="0056068D"/>
    <w:rsid w:val="00562DFE"/>
    <w:rsid w:val="00563C8B"/>
    <w:rsid w:val="00566B7A"/>
    <w:rsid w:val="00570005"/>
    <w:rsid w:val="0057452F"/>
    <w:rsid w:val="0057736B"/>
    <w:rsid w:val="0059161C"/>
    <w:rsid w:val="005A7A53"/>
    <w:rsid w:val="005A7E7C"/>
    <w:rsid w:val="005B210E"/>
    <w:rsid w:val="005B3CDF"/>
    <w:rsid w:val="005B4847"/>
    <w:rsid w:val="005B6C4B"/>
    <w:rsid w:val="005C1A59"/>
    <w:rsid w:val="005C4114"/>
    <w:rsid w:val="005C6153"/>
    <w:rsid w:val="005C6720"/>
    <w:rsid w:val="005C6FA4"/>
    <w:rsid w:val="005D0746"/>
    <w:rsid w:val="005E6301"/>
    <w:rsid w:val="005F33FE"/>
    <w:rsid w:val="005F4590"/>
    <w:rsid w:val="005F53F5"/>
    <w:rsid w:val="005F5B24"/>
    <w:rsid w:val="005F6DF7"/>
    <w:rsid w:val="006068C7"/>
    <w:rsid w:val="006113D2"/>
    <w:rsid w:val="00611B19"/>
    <w:rsid w:val="006142E8"/>
    <w:rsid w:val="00615A48"/>
    <w:rsid w:val="006165ED"/>
    <w:rsid w:val="006214B2"/>
    <w:rsid w:val="006241B7"/>
    <w:rsid w:val="00630344"/>
    <w:rsid w:val="0063093D"/>
    <w:rsid w:val="006367AB"/>
    <w:rsid w:val="006368BE"/>
    <w:rsid w:val="0064419F"/>
    <w:rsid w:val="00652D79"/>
    <w:rsid w:val="006602E7"/>
    <w:rsid w:val="0066419E"/>
    <w:rsid w:val="006733D6"/>
    <w:rsid w:val="006803DB"/>
    <w:rsid w:val="00680FF7"/>
    <w:rsid w:val="00685EFE"/>
    <w:rsid w:val="00687E6B"/>
    <w:rsid w:val="006925E1"/>
    <w:rsid w:val="006A69F0"/>
    <w:rsid w:val="006B1D49"/>
    <w:rsid w:val="006C49CF"/>
    <w:rsid w:val="006D7986"/>
    <w:rsid w:val="006E04B2"/>
    <w:rsid w:val="006E5F38"/>
    <w:rsid w:val="006E6641"/>
    <w:rsid w:val="006F190C"/>
    <w:rsid w:val="007000C2"/>
    <w:rsid w:val="007039C2"/>
    <w:rsid w:val="00704E0D"/>
    <w:rsid w:val="007070F1"/>
    <w:rsid w:val="0071718E"/>
    <w:rsid w:val="00717E1B"/>
    <w:rsid w:val="007213C7"/>
    <w:rsid w:val="00723874"/>
    <w:rsid w:val="00724931"/>
    <w:rsid w:val="0072507A"/>
    <w:rsid w:val="00731CC2"/>
    <w:rsid w:val="007422A0"/>
    <w:rsid w:val="00745132"/>
    <w:rsid w:val="00752A0E"/>
    <w:rsid w:val="0075409F"/>
    <w:rsid w:val="00762B01"/>
    <w:rsid w:val="007673A6"/>
    <w:rsid w:val="0076771B"/>
    <w:rsid w:val="00774CC0"/>
    <w:rsid w:val="00775CBB"/>
    <w:rsid w:val="00780CF0"/>
    <w:rsid w:val="00780FFB"/>
    <w:rsid w:val="0078135A"/>
    <w:rsid w:val="00785A7D"/>
    <w:rsid w:val="00792951"/>
    <w:rsid w:val="007962F9"/>
    <w:rsid w:val="00796C18"/>
    <w:rsid w:val="007978E0"/>
    <w:rsid w:val="007A2296"/>
    <w:rsid w:val="007B00F5"/>
    <w:rsid w:val="007C16D2"/>
    <w:rsid w:val="007D2905"/>
    <w:rsid w:val="007D325C"/>
    <w:rsid w:val="007F5703"/>
    <w:rsid w:val="0080081A"/>
    <w:rsid w:val="0080162C"/>
    <w:rsid w:val="00803D9E"/>
    <w:rsid w:val="008056E9"/>
    <w:rsid w:val="00820160"/>
    <w:rsid w:val="008215CA"/>
    <w:rsid w:val="0082167B"/>
    <w:rsid w:val="008219BE"/>
    <w:rsid w:val="00824894"/>
    <w:rsid w:val="00836272"/>
    <w:rsid w:val="0083649D"/>
    <w:rsid w:val="00841157"/>
    <w:rsid w:val="00841D35"/>
    <w:rsid w:val="008630DE"/>
    <w:rsid w:val="008631DC"/>
    <w:rsid w:val="00873E40"/>
    <w:rsid w:val="00876707"/>
    <w:rsid w:val="00881241"/>
    <w:rsid w:val="008827F1"/>
    <w:rsid w:val="00883B49"/>
    <w:rsid w:val="0089303E"/>
    <w:rsid w:val="00893262"/>
    <w:rsid w:val="00896E69"/>
    <w:rsid w:val="008A347A"/>
    <w:rsid w:val="008A6635"/>
    <w:rsid w:val="008A7B39"/>
    <w:rsid w:val="008A7CA1"/>
    <w:rsid w:val="008B7635"/>
    <w:rsid w:val="008C3B63"/>
    <w:rsid w:val="008C52F9"/>
    <w:rsid w:val="008D005F"/>
    <w:rsid w:val="008D26B8"/>
    <w:rsid w:val="008D6E7B"/>
    <w:rsid w:val="008F3AB1"/>
    <w:rsid w:val="008F4CD1"/>
    <w:rsid w:val="0090090C"/>
    <w:rsid w:val="009009A0"/>
    <w:rsid w:val="00903C80"/>
    <w:rsid w:val="00914480"/>
    <w:rsid w:val="00923785"/>
    <w:rsid w:val="00927F9D"/>
    <w:rsid w:val="009509D5"/>
    <w:rsid w:val="00951C40"/>
    <w:rsid w:val="00963006"/>
    <w:rsid w:val="00963620"/>
    <w:rsid w:val="00964B17"/>
    <w:rsid w:val="009650A8"/>
    <w:rsid w:val="009847E0"/>
    <w:rsid w:val="009852F7"/>
    <w:rsid w:val="00991230"/>
    <w:rsid w:val="00992345"/>
    <w:rsid w:val="00997C51"/>
    <w:rsid w:val="009A39AF"/>
    <w:rsid w:val="009A4F19"/>
    <w:rsid w:val="009A5201"/>
    <w:rsid w:val="009A7035"/>
    <w:rsid w:val="009B205D"/>
    <w:rsid w:val="009C4366"/>
    <w:rsid w:val="009E04F6"/>
    <w:rsid w:val="009F152F"/>
    <w:rsid w:val="009F680C"/>
    <w:rsid w:val="00A11EC7"/>
    <w:rsid w:val="00A16533"/>
    <w:rsid w:val="00A2027E"/>
    <w:rsid w:val="00A22990"/>
    <w:rsid w:val="00A276D7"/>
    <w:rsid w:val="00A33A69"/>
    <w:rsid w:val="00A3606C"/>
    <w:rsid w:val="00A44F96"/>
    <w:rsid w:val="00A553DB"/>
    <w:rsid w:val="00A56AA6"/>
    <w:rsid w:val="00A56E6D"/>
    <w:rsid w:val="00A63B54"/>
    <w:rsid w:val="00A65F12"/>
    <w:rsid w:val="00A72117"/>
    <w:rsid w:val="00A80D5B"/>
    <w:rsid w:val="00A8318F"/>
    <w:rsid w:val="00A855D3"/>
    <w:rsid w:val="00A87F64"/>
    <w:rsid w:val="00A91AED"/>
    <w:rsid w:val="00A92934"/>
    <w:rsid w:val="00A938DB"/>
    <w:rsid w:val="00A968A5"/>
    <w:rsid w:val="00AA4AB5"/>
    <w:rsid w:val="00AB52AA"/>
    <w:rsid w:val="00AB738F"/>
    <w:rsid w:val="00AC175E"/>
    <w:rsid w:val="00AC18ED"/>
    <w:rsid w:val="00AC19BA"/>
    <w:rsid w:val="00AC68BC"/>
    <w:rsid w:val="00AD3727"/>
    <w:rsid w:val="00AD3C84"/>
    <w:rsid w:val="00AD461C"/>
    <w:rsid w:val="00AE52E9"/>
    <w:rsid w:val="00AF3D27"/>
    <w:rsid w:val="00AF6FB1"/>
    <w:rsid w:val="00B03C1E"/>
    <w:rsid w:val="00B148C0"/>
    <w:rsid w:val="00B15332"/>
    <w:rsid w:val="00B22C85"/>
    <w:rsid w:val="00B236AD"/>
    <w:rsid w:val="00B24E9C"/>
    <w:rsid w:val="00B25431"/>
    <w:rsid w:val="00B27573"/>
    <w:rsid w:val="00B37C0A"/>
    <w:rsid w:val="00B4430F"/>
    <w:rsid w:val="00B4742F"/>
    <w:rsid w:val="00B55908"/>
    <w:rsid w:val="00B758E0"/>
    <w:rsid w:val="00B763EE"/>
    <w:rsid w:val="00B76E6F"/>
    <w:rsid w:val="00B82D86"/>
    <w:rsid w:val="00B871E7"/>
    <w:rsid w:val="00B877C2"/>
    <w:rsid w:val="00B87C96"/>
    <w:rsid w:val="00B9248B"/>
    <w:rsid w:val="00B9324E"/>
    <w:rsid w:val="00B94691"/>
    <w:rsid w:val="00B9653E"/>
    <w:rsid w:val="00B96D2F"/>
    <w:rsid w:val="00BA0ADE"/>
    <w:rsid w:val="00BA173C"/>
    <w:rsid w:val="00BB365B"/>
    <w:rsid w:val="00BC06A8"/>
    <w:rsid w:val="00BD4D65"/>
    <w:rsid w:val="00BE1A90"/>
    <w:rsid w:val="00BE3F60"/>
    <w:rsid w:val="00BF3D60"/>
    <w:rsid w:val="00BF58DB"/>
    <w:rsid w:val="00C032FD"/>
    <w:rsid w:val="00C116C7"/>
    <w:rsid w:val="00C13829"/>
    <w:rsid w:val="00C13FAF"/>
    <w:rsid w:val="00C21AD5"/>
    <w:rsid w:val="00C21ECC"/>
    <w:rsid w:val="00C23F3B"/>
    <w:rsid w:val="00C26A62"/>
    <w:rsid w:val="00C3220A"/>
    <w:rsid w:val="00C43AAE"/>
    <w:rsid w:val="00C4446F"/>
    <w:rsid w:val="00C46BC7"/>
    <w:rsid w:val="00C517ED"/>
    <w:rsid w:val="00C5470E"/>
    <w:rsid w:val="00C60F32"/>
    <w:rsid w:val="00C75E33"/>
    <w:rsid w:val="00C818FA"/>
    <w:rsid w:val="00CA279C"/>
    <w:rsid w:val="00CC4F79"/>
    <w:rsid w:val="00CC5930"/>
    <w:rsid w:val="00CD1D0C"/>
    <w:rsid w:val="00CD2C3B"/>
    <w:rsid w:val="00CD4A10"/>
    <w:rsid w:val="00CE11B3"/>
    <w:rsid w:val="00CE3D40"/>
    <w:rsid w:val="00CE747B"/>
    <w:rsid w:val="00CF0440"/>
    <w:rsid w:val="00CF2402"/>
    <w:rsid w:val="00CF38F8"/>
    <w:rsid w:val="00CF6CE4"/>
    <w:rsid w:val="00D038CA"/>
    <w:rsid w:val="00D04330"/>
    <w:rsid w:val="00D11874"/>
    <w:rsid w:val="00D222EE"/>
    <w:rsid w:val="00D30BD4"/>
    <w:rsid w:val="00D357FD"/>
    <w:rsid w:val="00D4283A"/>
    <w:rsid w:val="00D4585C"/>
    <w:rsid w:val="00D478B9"/>
    <w:rsid w:val="00D522CA"/>
    <w:rsid w:val="00D52CF3"/>
    <w:rsid w:val="00D5302D"/>
    <w:rsid w:val="00D54011"/>
    <w:rsid w:val="00D554C9"/>
    <w:rsid w:val="00D6332E"/>
    <w:rsid w:val="00D64D77"/>
    <w:rsid w:val="00D652BD"/>
    <w:rsid w:val="00D72D48"/>
    <w:rsid w:val="00D77DD1"/>
    <w:rsid w:val="00D80C09"/>
    <w:rsid w:val="00D81433"/>
    <w:rsid w:val="00D82DEC"/>
    <w:rsid w:val="00D851E7"/>
    <w:rsid w:val="00D92E42"/>
    <w:rsid w:val="00D9347C"/>
    <w:rsid w:val="00D96FAD"/>
    <w:rsid w:val="00D9704C"/>
    <w:rsid w:val="00D97A9F"/>
    <w:rsid w:val="00DA6DD1"/>
    <w:rsid w:val="00DB2BE3"/>
    <w:rsid w:val="00DB41D3"/>
    <w:rsid w:val="00DB6756"/>
    <w:rsid w:val="00DB6C34"/>
    <w:rsid w:val="00DC2C34"/>
    <w:rsid w:val="00DD1C2A"/>
    <w:rsid w:val="00DD2A2B"/>
    <w:rsid w:val="00DD320A"/>
    <w:rsid w:val="00DE3D3B"/>
    <w:rsid w:val="00DF3A0A"/>
    <w:rsid w:val="00DF6BEA"/>
    <w:rsid w:val="00E01E1C"/>
    <w:rsid w:val="00E073FD"/>
    <w:rsid w:val="00E1291C"/>
    <w:rsid w:val="00E17100"/>
    <w:rsid w:val="00E22AFE"/>
    <w:rsid w:val="00E22C6D"/>
    <w:rsid w:val="00E31770"/>
    <w:rsid w:val="00E34795"/>
    <w:rsid w:val="00E34DC9"/>
    <w:rsid w:val="00E44384"/>
    <w:rsid w:val="00E56DBA"/>
    <w:rsid w:val="00E60F11"/>
    <w:rsid w:val="00E70C68"/>
    <w:rsid w:val="00E74179"/>
    <w:rsid w:val="00E80307"/>
    <w:rsid w:val="00E837E8"/>
    <w:rsid w:val="00E83CB4"/>
    <w:rsid w:val="00E84287"/>
    <w:rsid w:val="00E84ABF"/>
    <w:rsid w:val="00E87B0B"/>
    <w:rsid w:val="00E913CF"/>
    <w:rsid w:val="00E92811"/>
    <w:rsid w:val="00E95DD2"/>
    <w:rsid w:val="00EA3D78"/>
    <w:rsid w:val="00EA75AF"/>
    <w:rsid w:val="00EC01FF"/>
    <w:rsid w:val="00EC1568"/>
    <w:rsid w:val="00EC4372"/>
    <w:rsid w:val="00EC5D81"/>
    <w:rsid w:val="00ED0473"/>
    <w:rsid w:val="00ED793E"/>
    <w:rsid w:val="00EE11F7"/>
    <w:rsid w:val="00EF1C76"/>
    <w:rsid w:val="00EF26E7"/>
    <w:rsid w:val="00EF6546"/>
    <w:rsid w:val="00EF7E88"/>
    <w:rsid w:val="00F03B58"/>
    <w:rsid w:val="00F24C4C"/>
    <w:rsid w:val="00F255DC"/>
    <w:rsid w:val="00F26184"/>
    <w:rsid w:val="00F301DE"/>
    <w:rsid w:val="00F42BB7"/>
    <w:rsid w:val="00F4418F"/>
    <w:rsid w:val="00F51558"/>
    <w:rsid w:val="00F53185"/>
    <w:rsid w:val="00F54C38"/>
    <w:rsid w:val="00F553CF"/>
    <w:rsid w:val="00F6033B"/>
    <w:rsid w:val="00F752D6"/>
    <w:rsid w:val="00F81DBD"/>
    <w:rsid w:val="00F855B9"/>
    <w:rsid w:val="00F91F61"/>
    <w:rsid w:val="00FA634C"/>
    <w:rsid w:val="00FA7503"/>
    <w:rsid w:val="00FB2E57"/>
    <w:rsid w:val="00FC2171"/>
    <w:rsid w:val="00FD00E4"/>
    <w:rsid w:val="00FD62EF"/>
    <w:rsid w:val="00FE10A3"/>
    <w:rsid w:val="00FE5EF1"/>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86C3D"/>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D320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清單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rsid w:val="00DD320A"/>
    <w:rPr>
      <w:b/>
      <w:bCs/>
      <w:sz w:val="32"/>
      <w:szCs w:val="32"/>
    </w:rPr>
  </w:style>
  <w:style w:type="character" w:styleId="af">
    <w:name w:val="annotation reference"/>
    <w:uiPriority w:val="99"/>
    <w:semiHidden/>
    <w:unhideWhenUsed/>
    <w:rsid w:val="00DD320A"/>
    <w:rPr>
      <w:sz w:val="21"/>
      <w:szCs w:val="21"/>
    </w:rPr>
  </w:style>
  <w:style w:type="paragraph" w:styleId="af0">
    <w:name w:val="annotation text"/>
    <w:basedOn w:val="a"/>
    <w:link w:val="af1"/>
    <w:uiPriority w:val="99"/>
    <w:semiHidden/>
    <w:unhideWhenUsed/>
    <w:rsid w:val="00DD320A"/>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semiHidden/>
    <w:rsid w:val="00DD320A"/>
    <w:rPr>
      <w:rFonts w:ascii="Times New Roman" w:eastAsia="宋体" w:hAnsi="Times New Roman" w:cs="Times New Roman"/>
      <w:kern w:val="0"/>
      <w:sz w:val="20"/>
      <w:szCs w:val="20"/>
      <w:lang w:val="en-GB" w:eastAsia="en-US"/>
    </w:rPr>
  </w:style>
  <w:style w:type="paragraph" w:styleId="af2">
    <w:name w:val="Balloon Text"/>
    <w:basedOn w:val="a"/>
    <w:link w:val="af3"/>
    <w:uiPriority w:val="99"/>
    <w:semiHidden/>
    <w:unhideWhenUsed/>
    <w:rsid w:val="00DD320A"/>
    <w:rPr>
      <w:sz w:val="18"/>
      <w:szCs w:val="18"/>
    </w:rPr>
  </w:style>
  <w:style w:type="character" w:customStyle="1" w:styleId="af3">
    <w:name w:val="批注框文本 字符"/>
    <w:basedOn w:val="a0"/>
    <w:link w:val="af2"/>
    <w:uiPriority w:val="99"/>
    <w:semiHidden/>
    <w:rsid w:val="00DD320A"/>
    <w:rPr>
      <w:sz w:val="18"/>
      <w:szCs w:val="18"/>
    </w:rPr>
  </w:style>
  <w:style w:type="paragraph" w:customStyle="1" w:styleId="Agreement">
    <w:name w:val="Agreement"/>
    <w:basedOn w:val="a"/>
    <w:next w:val="a"/>
    <w:qFormat/>
    <w:rsid w:val="0071718E"/>
    <w:pPr>
      <w:widowControl/>
      <w:numPr>
        <w:numId w:val="40"/>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 w:type="character" w:styleId="af4">
    <w:name w:val="Hyperlink"/>
    <w:uiPriority w:val="99"/>
    <w:qFormat/>
    <w:rsid w:val="007A2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E4362-1227-4CBF-9719-BABE15E2E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10464</TotalTime>
  <Pages>3</Pages>
  <Words>897</Words>
  <Characters>5119</Characters>
  <Application>Microsoft Office Word</Application>
  <DocSecurity>0</DocSecurity>
  <Lines>42</Lines>
  <Paragraphs>12</Paragraphs>
  <ScaleCrop>false</ScaleCrop>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187</cp:revision>
  <dcterms:created xsi:type="dcterms:W3CDTF">2021-01-14T12:11:00Z</dcterms:created>
  <dcterms:modified xsi:type="dcterms:W3CDTF">2023-08-11T12:44:00Z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